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C3" w:rsidRDefault="00132CC3"/>
    <w:p w:rsidR="00B9453D" w:rsidRDefault="00B9453D"/>
    <w:p w:rsidR="00B9453D" w:rsidRDefault="00B9453D"/>
    <w:p w:rsidR="00724675" w:rsidRPr="00724675" w:rsidRDefault="00724675" w:rsidP="007246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4675">
        <w:rPr>
          <w:rFonts w:ascii="Times New Roman" w:hAnsi="Times New Roman"/>
          <w:b/>
          <w:sz w:val="24"/>
          <w:szCs w:val="24"/>
        </w:rPr>
        <w:t>1. Своевременность предоставления сведений (в т</w:t>
      </w:r>
      <w:proofErr w:type="gramStart"/>
      <w:r w:rsidRPr="00724675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724675">
        <w:rPr>
          <w:rFonts w:ascii="Times New Roman" w:hAnsi="Times New Roman"/>
          <w:b/>
          <w:sz w:val="24"/>
          <w:szCs w:val="24"/>
        </w:rPr>
        <w:t xml:space="preserve"> правильность указания отчетного периода и отчетной даты, даты предоставления сведений).</w:t>
      </w:r>
    </w:p>
    <w:p w:rsidR="00724675" w:rsidRPr="00724675" w:rsidRDefault="00724675" w:rsidP="007246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4675">
        <w:rPr>
          <w:rFonts w:ascii="Times New Roman" w:hAnsi="Times New Roman"/>
          <w:b/>
          <w:sz w:val="24"/>
          <w:szCs w:val="24"/>
        </w:rPr>
        <w:t xml:space="preserve">2. Соответствие предоставленной справки утверждено форме </w:t>
      </w:r>
      <w:proofErr w:type="spellStart"/>
      <w:r w:rsidRPr="00724675">
        <w:rPr>
          <w:rFonts w:ascii="Times New Roman" w:hAnsi="Times New Roman"/>
          <w:b/>
          <w:sz w:val="24"/>
          <w:szCs w:val="24"/>
        </w:rPr>
        <w:t>СПО</w:t>
      </w:r>
      <w:proofErr w:type="spellEnd"/>
      <w:r w:rsidRPr="00724675">
        <w:rPr>
          <w:rFonts w:ascii="Times New Roman" w:hAnsi="Times New Roman"/>
          <w:b/>
          <w:sz w:val="24"/>
          <w:szCs w:val="24"/>
        </w:rPr>
        <w:t xml:space="preserve"> «Справки БК» 2.5.1 от 17.02.2022. Наличие подписи на последней странице справки.</w:t>
      </w:r>
    </w:p>
    <w:p w:rsidR="00724675" w:rsidRPr="00724675" w:rsidRDefault="00724675" w:rsidP="007246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4675">
        <w:rPr>
          <w:rFonts w:ascii="Times New Roman" w:hAnsi="Times New Roman"/>
          <w:b/>
          <w:sz w:val="24"/>
          <w:szCs w:val="24"/>
        </w:rPr>
        <w:t>3. Представление сведений на всех членов семьи служащего (супруга, супруги, несовершеннолетние дети).</w:t>
      </w:r>
    </w:p>
    <w:p w:rsidR="00724675" w:rsidRPr="00724675" w:rsidRDefault="00724675" w:rsidP="007246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24675">
        <w:rPr>
          <w:rFonts w:ascii="Times New Roman" w:hAnsi="Times New Roman"/>
          <w:b/>
          <w:sz w:val="24"/>
          <w:szCs w:val="24"/>
        </w:rPr>
        <w:t xml:space="preserve">4. Декларант вправе представить уточненные сведения в течение одного месяца после окончания срока, предусмотренного для приема первичной справки. </w:t>
      </w:r>
      <w:r w:rsidRPr="00724675">
        <w:rPr>
          <w:rFonts w:ascii="Times New Roman" w:hAnsi="Times New Roman"/>
          <w:b/>
          <w:bCs/>
          <w:sz w:val="24"/>
          <w:szCs w:val="24"/>
        </w:rPr>
        <w:t>Уточняющая справка может быть принята ТОЛЬКО при наличии принятой основной.</w:t>
      </w:r>
      <w:r w:rsidRPr="00724675">
        <w:rPr>
          <w:rFonts w:ascii="Times New Roman" w:eastAsia="+mn-ea" w:hAnsi="Times New Roman"/>
          <w:b/>
          <w:bCs/>
          <w:shadow/>
          <w:color w:val="FFFFFF"/>
          <w:kern w:val="24"/>
          <w:sz w:val="24"/>
          <w:szCs w:val="24"/>
        </w:rPr>
        <w:t xml:space="preserve"> </w:t>
      </w:r>
      <w:r w:rsidRPr="00724675">
        <w:rPr>
          <w:rFonts w:ascii="Times New Roman" w:hAnsi="Times New Roman"/>
          <w:b/>
          <w:bCs/>
          <w:sz w:val="24"/>
          <w:szCs w:val="24"/>
        </w:rPr>
        <w:t>Допускается представление уточняющей справки только на одного члена семьи.</w:t>
      </w:r>
    </w:p>
    <w:p w:rsidR="00724675" w:rsidRPr="00724675" w:rsidRDefault="00724675" w:rsidP="007246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4675">
        <w:rPr>
          <w:rFonts w:ascii="Times New Roman" w:hAnsi="Times New Roman"/>
          <w:b/>
          <w:bCs/>
          <w:sz w:val="24"/>
          <w:szCs w:val="24"/>
        </w:rPr>
        <w:t>5. Период и отчетная дата представления сведений в уточняющей справке соответствует основной</w:t>
      </w:r>
    </w:p>
    <w:p w:rsidR="00724675" w:rsidRPr="00724675" w:rsidRDefault="00724675" w:rsidP="007246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4675">
        <w:rPr>
          <w:rFonts w:ascii="Times New Roman" w:hAnsi="Times New Roman"/>
          <w:b/>
          <w:bCs/>
          <w:sz w:val="24"/>
          <w:szCs w:val="24"/>
        </w:rPr>
        <w:t xml:space="preserve">6. Уточняющая справка заполнятся ПОЛНОСТЬЮ с учетом корректировок. </w:t>
      </w:r>
    </w:p>
    <w:p w:rsidR="00724675" w:rsidRPr="00E73E5E" w:rsidRDefault="00724675" w:rsidP="00724675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53D" w:rsidRDefault="00B9453D"/>
    <w:p w:rsidR="00B9453D" w:rsidRDefault="008C6EFF">
      <w:r>
        <w:rPr>
          <w:noProof/>
          <w:lang w:eastAsia="ru-RU"/>
        </w:rPr>
        <w:drawing>
          <wp:inline distT="0" distB="0" distL="0" distR="0">
            <wp:extent cx="4069871" cy="2441276"/>
            <wp:effectExtent l="19050" t="0" r="6829" b="0"/>
            <wp:docPr id="15" name="Рисунок 14" descr="https://media.75.ru/%20%D1%81%D0%BB%D1%83%D0%B6%D0%B1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dia.75.ru/%20%D1%81%D0%BB%D1%83%D0%B6%D0%B1%D0%B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586" cy="24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3D" w:rsidRDefault="00B9453D"/>
    <w:p w:rsidR="008C6EFF" w:rsidRDefault="008C6EFF"/>
    <w:p w:rsidR="00B9453D" w:rsidRPr="007F5B9E" w:rsidRDefault="00B9453D" w:rsidP="00B9453D">
      <w:pPr>
        <w:ind w:left="34" w:right="3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43890" cy="826770"/>
            <wp:effectExtent l="19050" t="0" r="3810" b="0"/>
            <wp:docPr id="1" name="Рисунок 1" descr="приложение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3D" w:rsidRPr="007F5B9E" w:rsidRDefault="00B9453D" w:rsidP="00B9453D">
      <w:pPr>
        <w:ind w:left="34" w:right="34"/>
        <w:jc w:val="center"/>
        <w:rPr>
          <w:rFonts w:ascii="Courier New" w:hAnsi="Courier New" w:cs="Courier New"/>
          <w:b/>
          <w:sz w:val="32"/>
          <w:szCs w:val="32"/>
        </w:rPr>
      </w:pPr>
      <w:r w:rsidRPr="007F5B9E">
        <w:rPr>
          <w:rFonts w:ascii="Courier New" w:hAnsi="Courier New" w:cs="Courier New"/>
          <w:b/>
          <w:sz w:val="32"/>
          <w:szCs w:val="32"/>
        </w:rPr>
        <w:t>Администрация муниципального района «Корткеросский»</w:t>
      </w:r>
    </w:p>
    <w:p w:rsidR="00B9453D" w:rsidRPr="007F5B9E" w:rsidRDefault="00B9453D" w:rsidP="00B9453D">
      <w:pPr>
        <w:rPr>
          <w:rFonts w:ascii="Courier New" w:hAnsi="Courier New" w:cs="Courier New"/>
        </w:rPr>
      </w:pPr>
    </w:p>
    <w:p w:rsidR="00B9453D" w:rsidRPr="007F5B9E" w:rsidRDefault="00B9453D" w:rsidP="00B9453D">
      <w:pPr>
        <w:ind w:left="34" w:right="-250"/>
        <w:jc w:val="center"/>
        <w:rPr>
          <w:rFonts w:ascii="Courier New" w:hAnsi="Courier New" w:cs="Courier New"/>
          <w:b/>
          <w:sz w:val="32"/>
          <w:szCs w:val="32"/>
        </w:rPr>
      </w:pPr>
    </w:p>
    <w:p w:rsidR="00B9453D" w:rsidRPr="007F5B9E" w:rsidRDefault="00B9453D" w:rsidP="00B9453D">
      <w:pPr>
        <w:spacing w:after="0" w:line="240" w:lineRule="auto"/>
        <w:ind w:left="34" w:right="-249"/>
        <w:jc w:val="center"/>
        <w:rPr>
          <w:rFonts w:ascii="Courier New" w:hAnsi="Courier New" w:cs="Courier New"/>
          <w:b/>
          <w:sz w:val="32"/>
          <w:szCs w:val="32"/>
        </w:rPr>
      </w:pPr>
      <w:r w:rsidRPr="007F5B9E">
        <w:rPr>
          <w:rFonts w:ascii="Courier New" w:hAnsi="Courier New" w:cs="Courier New"/>
          <w:b/>
          <w:sz w:val="32"/>
          <w:szCs w:val="32"/>
        </w:rPr>
        <w:t xml:space="preserve">ДЕКЛАРАЦИОННАЯ </w:t>
      </w:r>
    </w:p>
    <w:p w:rsidR="00B9453D" w:rsidRPr="007F5B9E" w:rsidRDefault="00B9453D" w:rsidP="00B9453D">
      <w:pPr>
        <w:spacing w:after="0" w:line="240" w:lineRule="auto"/>
        <w:ind w:left="34" w:right="-249"/>
        <w:jc w:val="center"/>
        <w:rPr>
          <w:rFonts w:ascii="Courier New" w:hAnsi="Courier New" w:cs="Courier New"/>
          <w:b/>
          <w:sz w:val="32"/>
          <w:szCs w:val="32"/>
        </w:rPr>
      </w:pPr>
      <w:r w:rsidRPr="007F5B9E">
        <w:rPr>
          <w:rFonts w:ascii="Courier New" w:hAnsi="Courier New" w:cs="Courier New"/>
          <w:b/>
          <w:sz w:val="32"/>
          <w:szCs w:val="32"/>
        </w:rPr>
        <w:t xml:space="preserve">КАМПАНИЯ   </w:t>
      </w:r>
    </w:p>
    <w:p w:rsidR="00B9453D" w:rsidRPr="007F5B9E" w:rsidRDefault="00B9453D" w:rsidP="00B9453D">
      <w:pPr>
        <w:spacing w:after="0" w:line="240" w:lineRule="auto"/>
        <w:ind w:left="34" w:right="-249"/>
        <w:jc w:val="center"/>
        <w:rPr>
          <w:rFonts w:ascii="Courier New" w:hAnsi="Courier New" w:cs="Courier New"/>
          <w:sz w:val="28"/>
          <w:szCs w:val="28"/>
        </w:rPr>
      </w:pPr>
      <w:r w:rsidRPr="007F5B9E">
        <w:rPr>
          <w:rFonts w:ascii="Courier New" w:hAnsi="Courier New" w:cs="Courier New"/>
          <w:b/>
          <w:sz w:val="32"/>
          <w:szCs w:val="32"/>
        </w:rPr>
        <w:t xml:space="preserve"> 2022 </w:t>
      </w:r>
    </w:p>
    <w:p w:rsidR="00B9453D" w:rsidRPr="007F5B9E" w:rsidRDefault="00B9453D" w:rsidP="00B9453D">
      <w:pPr>
        <w:spacing w:after="0" w:line="240" w:lineRule="auto"/>
        <w:ind w:left="34" w:hanging="34"/>
        <w:jc w:val="center"/>
        <w:rPr>
          <w:rFonts w:ascii="Courier New" w:hAnsi="Courier New" w:cs="Courier New"/>
          <w:sz w:val="24"/>
          <w:szCs w:val="24"/>
        </w:rPr>
      </w:pPr>
    </w:p>
    <w:p w:rsidR="00B9453D" w:rsidRPr="007F5B9E" w:rsidRDefault="00B9453D" w:rsidP="00B9453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9453D" w:rsidRPr="007F5B9E" w:rsidRDefault="00B9453D" w:rsidP="00B9453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ru-RU"/>
        </w:rPr>
        <w:drawing>
          <wp:inline distT="0" distB="0" distL="0" distR="0">
            <wp:extent cx="1062289" cy="1876425"/>
            <wp:effectExtent l="19050" t="0" r="61661" b="0"/>
            <wp:docPr id="2" name="Рисунок 6" descr="C:\Users\Administrator\Desktop\未标题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07" descr="C:\Users\Administrator\Desktop\未标题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BEBA8EAE-BF5A-486C-A8C5-ECC9F3942E4B}"/>
                        <a:ext uri="{28A0092B-C50C-407E-A947-70E740481C1C}"/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2289" cy="18764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inline>
        </w:drawing>
      </w:r>
    </w:p>
    <w:p w:rsidR="00B9453D" w:rsidRPr="007F5B9E" w:rsidRDefault="00B9453D" w:rsidP="00B9453D">
      <w:pPr>
        <w:tabs>
          <w:tab w:val="center" w:pos="2585"/>
          <w:tab w:val="right" w:pos="517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7F5B9E">
        <w:rPr>
          <w:rFonts w:ascii="Courier New" w:hAnsi="Courier New" w:cs="Courier New"/>
          <w:sz w:val="24"/>
          <w:szCs w:val="24"/>
        </w:rPr>
        <w:tab/>
      </w:r>
    </w:p>
    <w:p w:rsidR="00B9453D" w:rsidRPr="007F5B9E" w:rsidRDefault="00B9453D" w:rsidP="00B9453D">
      <w:pPr>
        <w:tabs>
          <w:tab w:val="center" w:pos="2585"/>
          <w:tab w:val="right" w:pos="5170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B9453D" w:rsidRPr="007F5B9E" w:rsidRDefault="00B9453D" w:rsidP="00B9453D">
      <w:pPr>
        <w:tabs>
          <w:tab w:val="center" w:pos="2585"/>
          <w:tab w:val="right" w:pos="5170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B9453D" w:rsidRPr="007F5B9E" w:rsidRDefault="00B9453D" w:rsidP="00B9453D">
      <w:pPr>
        <w:tabs>
          <w:tab w:val="center" w:pos="2585"/>
          <w:tab w:val="right" w:pos="5170"/>
        </w:tabs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7F5B9E">
        <w:rPr>
          <w:rFonts w:ascii="Courier New" w:hAnsi="Courier New" w:cs="Courier New"/>
          <w:sz w:val="24"/>
          <w:szCs w:val="24"/>
        </w:rPr>
        <w:t>Корткерос</w:t>
      </w:r>
    </w:p>
    <w:p w:rsidR="00B9453D" w:rsidRDefault="00B9453D" w:rsidP="00B9453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7F5B9E">
        <w:rPr>
          <w:rFonts w:ascii="Courier New" w:hAnsi="Courier New" w:cs="Courier New"/>
          <w:sz w:val="24"/>
          <w:szCs w:val="24"/>
        </w:rPr>
        <w:t>2022 год</w:t>
      </w:r>
    </w:p>
    <w:p w:rsidR="00B9453D" w:rsidRDefault="00B9453D"/>
    <w:p w:rsidR="00FC3256" w:rsidRDefault="00FC3256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256" w:rsidRDefault="00FC3256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256" w:rsidRDefault="00FC3256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256" w:rsidRDefault="00FC3256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14522" w:rsidRDefault="00814522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C3256" w:rsidRDefault="00FC3256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453D" w:rsidRPr="00E1039A" w:rsidRDefault="00B9453D" w:rsidP="00724675">
      <w:pPr>
        <w:spacing w:after="0" w:line="240" w:lineRule="auto"/>
        <w:jc w:val="center"/>
        <w:rPr>
          <w:rFonts w:ascii="Times New Roman" w:hAnsi="Times New Roman"/>
          <w:b/>
        </w:rPr>
      </w:pPr>
      <w:r w:rsidRPr="00E1039A">
        <w:rPr>
          <w:rFonts w:ascii="Times New Roman" w:hAnsi="Times New Roman"/>
          <w:b/>
        </w:rPr>
        <w:t>Раздел 1. Сведения о доходах</w:t>
      </w:r>
    </w:p>
    <w:p w:rsidR="00724675" w:rsidRDefault="00724675" w:rsidP="00B9453D">
      <w:pPr>
        <w:spacing w:after="0" w:line="240" w:lineRule="auto"/>
        <w:jc w:val="both"/>
        <w:rPr>
          <w:rFonts w:ascii="Times New Roman" w:hAnsi="Times New Roman"/>
        </w:rPr>
      </w:pPr>
    </w:p>
    <w:p w:rsidR="00B9453D" w:rsidRPr="00E1039A" w:rsidRDefault="00B9453D" w:rsidP="0072467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Понятие «Доход» в </w:t>
      </w:r>
      <w:proofErr w:type="spellStart"/>
      <w:r w:rsidRPr="00E1039A">
        <w:rPr>
          <w:rFonts w:ascii="Times New Roman" w:hAnsi="Times New Roman"/>
        </w:rPr>
        <w:t>антикоррупционном</w:t>
      </w:r>
      <w:proofErr w:type="spellEnd"/>
      <w:r w:rsidRPr="00E1039A">
        <w:rPr>
          <w:rFonts w:ascii="Times New Roman" w:hAnsi="Times New Roman"/>
        </w:rPr>
        <w:t xml:space="preserve"> законодательстве не тождественно понятию «доход» в налоговом законодательстве.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ГИБДД России </w:t>
      </w:r>
      <w:hyperlink r:id="rId8" w:history="1">
        <w:r w:rsidRPr="00E1039A">
          <w:rPr>
            <w:rStyle w:val="a5"/>
            <w:rFonts w:ascii="Times New Roman" w:hAnsi="Times New Roman"/>
          </w:rPr>
          <w:t>https://</w:t>
        </w:r>
      </w:hyperlink>
      <w:hyperlink r:id="rId9" w:history="1">
        <w:r w:rsidRPr="00E1039A">
          <w:rPr>
            <w:rStyle w:val="a5"/>
            <w:rFonts w:ascii="Times New Roman" w:hAnsi="Times New Roman"/>
          </w:rPr>
          <w:t>гибдд</w:t>
        </w:r>
        <w:proofErr w:type="gramStart"/>
        <w:r w:rsidRPr="00E1039A">
          <w:rPr>
            <w:rStyle w:val="a5"/>
            <w:rFonts w:ascii="Times New Roman" w:hAnsi="Times New Roman"/>
          </w:rPr>
          <w:t>.р</w:t>
        </w:r>
        <w:proofErr w:type="gramEnd"/>
        <w:r w:rsidRPr="00E1039A">
          <w:rPr>
            <w:rStyle w:val="a5"/>
            <w:rFonts w:ascii="Times New Roman" w:hAnsi="Times New Roman"/>
          </w:rPr>
          <w:t>ф</w:t>
        </w:r>
      </w:hyperlink>
      <w:r w:rsidRPr="00E1039A">
        <w:rPr>
          <w:rFonts w:ascii="Times New Roman" w:hAnsi="Times New Roman"/>
        </w:rPr>
        <w:t xml:space="preserve">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Личный кабинет налогоплательщика </w:t>
      </w:r>
      <w:hyperlink r:id="rId10" w:history="1">
        <w:r w:rsidRPr="00E1039A">
          <w:rPr>
            <w:rStyle w:val="a5"/>
            <w:rFonts w:ascii="Times New Roman" w:hAnsi="Times New Roman"/>
          </w:rPr>
          <w:t>https://</w:t>
        </w:r>
      </w:hyperlink>
      <w:hyperlink r:id="rId11" w:history="1">
        <w:r w:rsidRPr="00E1039A">
          <w:rPr>
            <w:rStyle w:val="a5"/>
            <w:rFonts w:ascii="Times New Roman" w:hAnsi="Times New Roman"/>
          </w:rPr>
          <w:t>lkfl2.nalog.ru/lkfl/login</w:t>
        </w:r>
      </w:hyperlink>
      <w:r w:rsidRPr="00E1039A">
        <w:rPr>
          <w:rFonts w:ascii="Times New Roman" w:hAnsi="Times New Roman"/>
        </w:rPr>
        <w:t xml:space="preserve">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Федеральная служба судебных приставов </w:t>
      </w:r>
      <w:hyperlink r:id="rId12" w:history="1">
        <w:r w:rsidRPr="00E1039A">
          <w:rPr>
            <w:rStyle w:val="a5"/>
            <w:rFonts w:ascii="Times New Roman" w:hAnsi="Times New Roman"/>
          </w:rPr>
          <w:t>http://fssprus.ru</w:t>
        </w:r>
      </w:hyperlink>
      <w:hyperlink r:id="rId13" w:history="1">
        <w:r w:rsidRPr="00E1039A">
          <w:rPr>
            <w:rStyle w:val="a5"/>
            <w:rFonts w:ascii="Times New Roman" w:hAnsi="Times New Roman"/>
          </w:rPr>
          <w:t>/</w:t>
        </w:r>
      </w:hyperlink>
      <w:r w:rsidRPr="00E1039A">
        <w:rPr>
          <w:rFonts w:ascii="Times New Roman" w:hAnsi="Times New Roman"/>
        </w:rPr>
        <w:t xml:space="preserve">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Пенсионный фонд Российской Федерации </w:t>
      </w:r>
      <w:hyperlink r:id="rId14" w:history="1">
        <w:r w:rsidRPr="00E1039A">
          <w:rPr>
            <w:rStyle w:val="a5"/>
            <w:rFonts w:ascii="Times New Roman" w:hAnsi="Times New Roman"/>
          </w:rPr>
          <w:t>https://es.pfrf.ru/</w:t>
        </w:r>
      </w:hyperlink>
      <w:r w:rsidRPr="00E1039A">
        <w:rPr>
          <w:rFonts w:ascii="Times New Roman" w:hAnsi="Times New Roman"/>
        </w:rPr>
        <w:t xml:space="preserve">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Личный кабинет Фонда социального страхования </w:t>
      </w:r>
      <w:hyperlink r:id="rId15" w:history="1">
        <w:r w:rsidRPr="00E1039A">
          <w:rPr>
            <w:rStyle w:val="a5"/>
            <w:rFonts w:ascii="Times New Roman" w:hAnsi="Times New Roman"/>
          </w:rPr>
          <w:t>https://lk.fss.ru</w:t>
        </w:r>
      </w:hyperlink>
      <w:hyperlink r:id="rId16" w:history="1">
        <w:r w:rsidRPr="00E1039A">
          <w:rPr>
            <w:rStyle w:val="a5"/>
            <w:rFonts w:ascii="Times New Roman" w:hAnsi="Times New Roman"/>
          </w:rPr>
          <w:t>/</w:t>
        </w:r>
      </w:hyperlink>
      <w:r w:rsidRPr="00E1039A">
        <w:rPr>
          <w:rFonts w:ascii="Times New Roman" w:hAnsi="Times New Roman"/>
        </w:rPr>
        <w:t xml:space="preserve"> 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E1039A">
        <w:rPr>
          <w:rFonts w:ascii="Times New Roman" w:hAnsi="Times New Roman"/>
        </w:rPr>
        <w:t>Росреестр</w:t>
      </w:r>
      <w:proofErr w:type="spellEnd"/>
      <w:r w:rsidRPr="00E1039A">
        <w:rPr>
          <w:rFonts w:ascii="Times New Roman" w:hAnsi="Times New Roman"/>
        </w:rPr>
        <w:t xml:space="preserve"> </w:t>
      </w:r>
      <w:hyperlink r:id="rId17" w:history="1">
        <w:r w:rsidRPr="00E1039A">
          <w:rPr>
            <w:rStyle w:val="a5"/>
            <w:rFonts w:ascii="Times New Roman" w:hAnsi="Times New Roman"/>
          </w:rPr>
          <w:t>https://</w:t>
        </w:r>
      </w:hyperlink>
      <w:hyperlink r:id="rId18" w:history="1">
        <w:r w:rsidRPr="00E1039A">
          <w:rPr>
            <w:rStyle w:val="a5"/>
            <w:rFonts w:ascii="Times New Roman" w:hAnsi="Times New Roman"/>
          </w:rPr>
          <w:t>rosreestr.ru/wps/portal/online_request</w:t>
        </w:r>
      </w:hyperlink>
      <w:r w:rsidRPr="00E1039A">
        <w:rPr>
          <w:rFonts w:ascii="Times New Roman" w:hAnsi="Times New Roman"/>
        </w:rPr>
        <w:t xml:space="preserve"> </w:t>
      </w:r>
    </w:p>
    <w:p w:rsidR="00B9453D" w:rsidRPr="00E1039A" w:rsidRDefault="00B9453D" w:rsidP="00B9453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Предоставление сведений из </w:t>
      </w:r>
      <w:proofErr w:type="spellStart"/>
      <w:r w:rsidRPr="00E1039A">
        <w:rPr>
          <w:rFonts w:ascii="Times New Roman" w:hAnsi="Times New Roman"/>
        </w:rPr>
        <w:t>ЕГРЮЛ</w:t>
      </w:r>
      <w:proofErr w:type="spellEnd"/>
      <w:r w:rsidRPr="00E1039A">
        <w:rPr>
          <w:rFonts w:ascii="Times New Roman" w:hAnsi="Times New Roman"/>
        </w:rPr>
        <w:t>/</w:t>
      </w:r>
      <w:proofErr w:type="spellStart"/>
      <w:r w:rsidRPr="00E1039A">
        <w:rPr>
          <w:rFonts w:ascii="Times New Roman" w:hAnsi="Times New Roman"/>
        </w:rPr>
        <w:t>ЕГРИП</w:t>
      </w:r>
      <w:proofErr w:type="spellEnd"/>
      <w:r w:rsidRPr="00E1039A">
        <w:rPr>
          <w:rFonts w:ascii="Times New Roman" w:hAnsi="Times New Roman"/>
        </w:rPr>
        <w:t xml:space="preserve"> </w:t>
      </w:r>
      <w:hyperlink r:id="rId19" w:history="1">
        <w:r w:rsidRPr="00E1039A">
          <w:rPr>
            <w:rStyle w:val="a5"/>
            <w:rFonts w:ascii="Times New Roman" w:hAnsi="Times New Roman"/>
          </w:rPr>
          <w:t>https://</w:t>
        </w:r>
      </w:hyperlink>
      <w:hyperlink r:id="rId20" w:history="1">
        <w:r w:rsidRPr="00E1039A">
          <w:rPr>
            <w:rStyle w:val="a5"/>
            <w:rFonts w:ascii="Times New Roman" w:hAnsi="Times New Roman"/>
          </w:rPr>
          <w:t>egrul.nalog.ru/index.html</w:t>
        </w:r>
      </w:hyperlink>
      <w:r w:rsidRPr="00E1039A">
        <w:rPr>
          <w:rFonts w:ascii="Times New Roman" w:hAnsi="Times New Roman"/>
        </w:rPr>
        <w:t xml:space="preserve"> </w:t>
      </w:r>
    </w:p>
    <w:p w:rsidR="00B9453D" w:rsidRDefault="00B9453D" w:rsidP="00B945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453D" w:rsidRPr="001A1A0C" w:rsidRDefault="00B9453D" w:rsidP="00B9453D">
      <w:pPr>
        <w:spacing w:after="0" w:line="240" w:lineRule="auto"/>
        <w:jc w:val="center"/>
        <w:rPr>
          <w:rFonts w:ascii="Times New Roman" w:hAnsi="Times New Roman"/>
          <w:b/>
        </w:rPr>
      </w:pPr>
      <w:r w:rsidRPr="001A1A0C">
        <w:rPr>
          <w:rFonts w:ascii="Times New Roman" w:hAnsi="Times New Roman"/>
          <w:b/>
        </w:rPr>
        <w:t>Меры финансовой поддержки</w:t>
      </w:r>
    </w:p>
    <w:p w:rsidR="00B9453D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</w:p>
    <w:p w:rsidR="00B9453D" w:rsidRPr="00E1039A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1) ежемесячная денежная выплата на ребенка в возрасте от трех до семи лет включительно в соответствии с Указом Президента от 20.03.2020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199;</w:t>
      </w:r>
    </w:p>
    <w:p w:rsidR="00B9453D" w:rsidRPr="00E1039A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2) дополнительная государственная гарантия отдельным категориям граждан в соответствии с Указом Президента от 1.02.2021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60;</w:t>
      </w:r>
    </w:p>
    <w:p w:rsidR="00B9453D" w:rsidRPr="00E1039A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3) единовременная выплата семьям, имеющим детей, в соответствии с Указом Президента от 2.07.2021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396;</w:t>
      </w:r>
    </w:p>
    <w:p w:rsidR="00B9453D" w:rsidRPr="00E1039A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4) единовременная денежная выплата гражданам, получающим пенсию, в соответствии с Указом Президента от 24.08.2021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486;</w:t>
      </w:r>
    </w:p>
    <w:p w:rsidR="00B9453D" w:rsidRPr="00E1039A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5) единовременная денежная выплата отдельным категориям граждан, получающих пенсию, в соответствии с Указом Президента от 24.08.2021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487;</w:t>
      </w:r>
    </w:p>
    <w:p w:rsidR="00B9453D" w:rsidRDefault="00B9453D" w:rsidP="00B9453D">
      <w:pPr>
        <w:spacing w:after="0" w:line="240" w:lineRule="auto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6) единовременная денежная выплата отдельным категориям военнослужащих в соответствии с Указом Президента от 30.08.2021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502;</w:t>
      </w:r>
    </w:p>
    <w:p w:rsidR="00B9453D" w:rsidRPr="00E1039A" w:rsidRDefault="00B9453D" w:rsidP="00B9453D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7) ежемесячное пособие женщине, вставшей на учет в медицинской организации в ранние сроки беременности, и (или) ежемесячное пособие на ребенка в возрасте от 8 до 17 лет (единственному родителю) в соответствии с постановлением Правительства Российской Федерации от 28 июня 2021 г. </w:t>
      </w:r>
      <w:proofErr w:type="spellStart"/>
      <w:r w:rsidRPr="00E1039A">
        <w:rPr>
          <w:rFonts w:ascii="Times New Roman" w:hAnsi="Times New Roman"/>
        </w:rPr>
        <w:t>N</w:t>
      </w:r>
      <w:proofErr w:type="spellEnd"/>
      <w:r w:rsidRPr="00E1039A">
        <w:rPr>
          <w:rFonts w:ascii="Times New Roman" w:hAnsi="Times New Roman"/>
        </w:rPr>
        <w:t xml:space="preserve"> 1037.</w:t>
      </w:r>
    </w:p>
    <w:p w:rsidR="00724675" w:rsidRDefault="00724675" w:rsidP="0072467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4675" w:rsidRDefault="00724675" w:rsidP="00724675">
      <w:pPr>
        <w:spacing w:after="0" w:line="240" w:lineRule="auto"/>
        <w:jc w:val="center"/>
        <w:rPr>
          <w:rFonts w:ascii="Times New Roman" w:hAnsi="Times New Roman"/>
          <w:b/>
        </w:rPr>
      </w:pPr>
      <w:r w:rsidRPr="00E1039A">
        <w:rPr>
          <w:rFonts w:ascii="Times New Roman" w:hAnsi="Times New Roman"/>
          <w:b/>
        </w:rPr>
        <w:t>Сведения о доходах</w:t>
      </w:r>
    </w:p>
    <w:p w:rsidR="00724675" w:rsidRPr="00E1039A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пособие по временной нетрудоспособности (частично не входит в 2-НДФЛ)</w:t>
      </w:r>
    </w:p>
    <w:p w:rsidR="00724675" w:rsidRPr="00E1039A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при необходимости отражения дохода смотрим на то, кто является собственником, а не на то, чей счет они зачислены</w:t>
      </w:r>
    </w:p>
    <w:p w:rsidR="00724675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денежные переводы между своими счетами, между супругами и (или) несовершеннолетними детьми  по общему правилу, в разделе 1 справки не указываются</w:t>
      </w:r>
    </w:p>
    <w:p w:rsidR="00814522" w:rsidRPr="00E1039A" w:rsidRDefault="00814522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</w:p>
    <w:p w:rsidR="00724675" w:rsidRPr="00E1039A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lastRenderedPageBreak/>
        <w:t xml:space="preserve">в части компенсаций общее правило: если есть отчетность, то – не доход, если нет  отчетности - доход </w:t>
      </w:r>
    </w:p>
    <w:p w:rsidR="00724675" w:rsidRPr="00E1039A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материнский (семейный) капитал указывается, в случае если в отчетном периоде служащий или супруг распорядились этими средствами полностью либо частично</w:t>
      </w:r>
    </w:p>
    <w:p w:rsidR="00724675" w:rsidRPr="00E1039A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возвращение денежных средств на покупку Т.Р.</w:t>
      </w:r>
      <w:proofErr w:type="gramStart"/>
      <w:r w:rsidRPr="00E1039A">
        <w:rPr>
          <w:rFonts w:ascii="Times New Roman" w:hAnsi="Times New Roman"/>
        </w:rPr>
        <w:t>У</w:t>
      </w:r>
      <w:proofErr w:type="gramEnd"/>
      <w:r w:rsidRPr="00E1039A">
        <w:rPr>
          <w:rFonts w:ascii="Times New Roman" w:hAnsi="Times New Roman"/>
        </w:rPr>
        <w:t xml:space="preserve"> </w:t>
      </w:r>
      <w:proofErr w:type="gramStart"/>
      <w:r w:rsidRPr="00E1039A">
        <w:rPr>
          <w:rFonts w:ascii="Times New Roman" w:hAnsi="Times New Roman"/>
        </w:rPr>
        <w:t>для</w:t>
      </w:r>
      <w:proofErr w:type="gramEnd"/>
      <w:r w:rsidRPr="00E1039A">
        <w:rPr>
          <w:rFonts w:ascii="Times New Roman" w:hAnsi="Times New Roman"/>
        </w:rPr>
        <w:t xml:space="preserve"> третьих лиц не доход, если факт такой оплаты может быть подтвержден </w:t>
      </w:r>
    </w:p>
    <w:p w:rsidR="00724675" w:rsidRPr="00E1039A" w:rsidRDefault="00724675" w:rsidP="0072467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не указываются сведения о денежных средствах, полученных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("</w:t>
      </w:r>
      <w:proofErr w:type="spellStart"/>
      <w:r w:rsidRPr="00E1039A">
        <w:rPr>
          <w:rFonts w:ascii="Times New Roman" w:hAnsi="Times New Roman"/>
        </w:rPr>
        <w:t>кешбэк</w:t>
      </w:r>
      <w:proofErr w:type="spellEnd"/>
      <w:r w:rsidRPr="00E1039A">
        <w:rPr>
          <w:rFonts w:ascii="Times New Roman" w:hAnsi="Times New Roman"/>
        </w:rPr>
        <w:t xml:space="preserve"> сервис"), включая т.н. "туристический </w:t>
      </w:r>
      <w:proofErr w:type="spellStart"/>
      <w:r w:rsidRPr="00E1039A">
        <w:rPr>
          <w:rFonts w:ascii="Times New Roman" w:hAnsi="Times New Roman"/>
        </w:rPr>
        <w:t>кешбэк</w:t>
      </w:r>
      <w:proofErr w:type="spellEnd"/>
      <w:r w:rsidRPr="00E1039A">
        <w:rPr>
          <w:rFonts w:ascii="Times New Roman" w:hAnsi="Times New Roman"/>
        </w:rPr>
        <w:t xml:space="preserve">", "детский </w:t>
      </w:r>
      <w:proofErr w:type="spellStart"/>
      <w:r w:rsidRPr="00E1039A">
        <w:rPr>
          <w:rFonts w:ascii="Times New Roman" w:hAnsi="Times New Roman"/>
        </w:rPr>
        <w:t>кешбэк</w:t>
      </w:r>
      <w:proofErr w:type="spellEnd"/>
      <w:r w:rsidRPr="00E1039A">
        <w:rPr>
          <w:rFonts w:ascii="Times New Roman" w:hAnsi="Times New Roman"/>
        </w:rPr>
        <w:t xml:space="preserve">" и </w:t>
      </w:r>
      <w:proofErr w:type="spellStart"/>
      <w:proofErr w:type="gramStart"/>
      <w:r w:rsidRPr="00E1039A">
        <w:rPr>
          <w:rFonts w:ascii="Times New Roman" w:hAnsi="Times New Roman"/>
        </w:rPr>
        <w:t>др</w:t>
      </w:r>
      <w:proofErr w:type="spellEnd"/>
      <w:proofErr w:type="gramEnd"/>
      <w:r w:rsidRPr="00E1039A">
        <w:rPr>
          <w:rFonts w:ascii="Times New Roman" w:hAnsi="Times New Roman"/>
        </w:rPr>
        <w:t xml:space="preserve"> </w:t>
      </w:r>
    </w:p>
    <w:p w:rsidR="00724675" w:rsidRDefault="00724675" w:rsidP="00724675">
      <w:pPr>
        <w:tabs>
          <w:tab w:val="left" w:pos="34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1039A">
        <w:rPr>
          <w:rFonts w:ascii="Times New Roman" w:hAnsi="Times New Roman"/>
          <w:b/>
        </w:rPr>
        <w:t>Раздел 2. Сведения о расходах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Сведения о расходах не подлежат корректировке посредством уточняющей справки 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  <w:b/>
          <w:bCs/>
          <w:u w:val="single"/>
        </w:rPr>
        <w:t>НЕ НУЖНО ОТЧИТЫВАТЬСЯ ПО РАСХОДАМ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  <w:b/>
          <w:bCs/>
        </w:rPr>
        <w:t xml:space="preserve">доходы мужа и жены за 2020,2019,2018      сумма покупки 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  <w:b/>
          <w:bCs/>
          <w:u w:val="single"/>
        </w:rPr>
        <w:t xml:space="preserve">НУЖНО </w:t>
      </w:r>
      <w:r w:rsidR="00FC3256" w:rsidRPr="00E1039A">
        <w:rPr>
          <w:rFonts w:ascii="Times New Roman" w:hAnsi="Times New Roman"/>
          <w:b/>
          <w:bCs/>
          <w:u w:val="single"/>
        </w:rPr>
        <w:t>ОТЧИТАТЬСЯ</w:t>
      </w:r>
      <w:r w:rsidRPr="00E1039A">
        <w:rPr>
          <w:rFonts w:ascii="Times New Roman" w:hAnsi="Times New Roman"/>
          <w:b/>
          <w:bCs/>
          <w:u w:val="single"/>
        </w:rPr>
        <w:t xml:space="preserve"> ПО РАСХОДАМ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  <w:b/>
          <w:bCs/>
        </w:rPr>
        <w:t xml:space="preserve">доходы мужа и жены за 2020,2019,2018      сумма покупки </w:t>
      </w:r>
      <w:r w:rsidRPr="00E1039A">
        <w:rPr>
          <w:rFonts w:ascii="Times New Roman" w:hAnsi="Times New Roman"/>
        </w:rPr>
        <w:t xml:space="preserve">совместный доход супругов </w:t>
      </w:r>
      <w:r w:rsidR="00FC3256" w:rsidRPr="00E1039A">
        <w:rPr>
          <w:rFonts w:ascii="Times New Roman" w:hAnsi="Times New Roman"/>
        </w:rPr>
        <w:t>учитывается,</w:t>
      </w:r>
      <w:r w:rsidRPr="00E1039A">
        <w:rPr>
          <w:rFonts w:ascii="Times New Roman" w:hAnsi="Times New Roman"/>
        </w:rPr>
        <w:t xml:space="preserve"> в случае если они состояли в браке на момент осуществления расходов по сделке (сделкам) и в течение трех лет, предшествующих отчетному периоду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доход несовершеннолетнего ребенка при расчете общего дохода не учитывается </w:t>
      </w:r>
    </w:p>
    <w:p w:rsidR="00724675" w:rsidRPr="00E1039A" w:rsidRDefault="00724675" w:rsidP="00FC3256">
      <w:pPr>
        <w:tabs>
          <w:tab w:val="left" w:pos="3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1039A">
        <w:rPr>
          <w:rFonts w:ascii="Times New Roman" w:hAnsi="Times New Roman"/>
          <w:b/>
        </w:rPr>
        <w:t>Раздел 3. Сведения об имуществе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  <w:b/>
          <w:bCs/>
          <w:u w:val="single"/>
        </w:rPr>
        <w:t>Недвижимость:</w:t>
      </w:r>
    </w:p>
    <w:p w:rsidR="00724675" w:rsidRPr="00E1039A" w:rsidRDefault="00724675" w:rsidP="00724675">
      <w:pPr>
        <w:numPr>
          <w:ilvl w:val="0"/>
          <w:numId w:val="3"/>
        </w:numPr>
        <w:tabs>
          <w:tab w:val="clear" w:pos="720"/>
          <w:tab w:val="num" w:pos="-108"/>
          <w:tab w:val="left" w:pos="34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каждый объект указывается отдельно</w:t>
      </w:r>
    </w:p>
    <w:p w:rsidR="00724675" w:rsidRPr="00E1039A" w:rsidRDefault="00724675" w:rsidP="00724675">
      <w:pPr>
        <w:numPr>
          <w:ilvl w:val="0"/>
          <w:numId w:val="3"/>
        </w:numPr>
        <w:tabs>
          <w:tab w:val="clear" w:pos="720"/>
          <w:tab w:val="num" w:pos="-108"/>
          <w:tab w:val="left" w:pos="34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>если имущество приобретено, но право собственности не зарегистрировано, то оно отражается в пользовании</w:t>
      </w:r>
    </w:p>
    <w:p w:rsidR="00724675" w:rsidRPr="00E1039A" w:rsidRDefault="00724675" w:rsidP="00724675">
      <w:pPr>
        <w:numPr>
          <w:ilvl w:val="0"/>
          <w:numId w:val="3"/>
        </w:numPr>
        <w:tabs>
          <w:tab w:val="clear" w:pos="720"/>
          <w:tab w:val="num" w:pos="-108"/>
          <w:tab w:val="left" w:pos="34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proofErr w:type="spellStart"/>
      <w:r w:rsidRPr="00E1039A">
        <w:rPr>
          <w:rFonts w:ascii="Times New Roman" w:hAnsi="Times New Roman"/>
        </w:rPr>
        <w:t>ПНВ</w:t>
      </w:r>
      <w:proofErr w:type="spellEnd"/>
      <w:r w:rsidRPr="00E1039A">
        <w:rPr>
          <w:rFonts w:ascii="Times New Roman" w:hAnsi="Times New Roman"/>
        </w:rPr>
        <w:t xml:space="preserve"> на земельный участок указывается в пользовании</w:t>
      </w:r>
    </w:p>
    <w:p w:rsidR="00724675" w:rsidRPr="00E1039A" w:rsidRDefault="00724675" w:rsidP="00724675">
      <w:pPr>
        <w:numPr>
          <w:ilvl w:val="0"/>
          <w:numId w:val="3"/>
        </w:numPr>
        <w:tabs>
          <w:tab w:val="clear" w:pos="720"/>
          <w:tab w:val="num" w:pos="-108"/>
          <w:tab w:val="left" w:pos="34"/>
        </w:tabs>
        <w:spacing w:after="0" w:line="240" w:lineRule="auto"/>
        <w:ind w:left="34" w:hanging="34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для каждого объекта недвижимости указываются </w:t>
      </w:r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1. реквизиты свидетельства о государственной регистрации прав на недвижимое имущество или номер и дата государственной </w:t>
      </w:r>
      <w:r w:rsidR="00FC3256" w:rsidRPr="00E1039A">
        <w:rPr>
          <w:rFonts w:ascii="Times New Roman" w:hAnsi="Times New Roman"/>
        </w:rPr>
        <w:t>регистрации,</w:t>
      </w:r>
      <w:r w:rsidRPr="00E1039A">
        <w:rPr>
          <w:rFonts w:ascii="Times New Roman" w:hAnsi="Times New Roman"/>
        </w:rPr>
        <w:t xml:space="preserve"> права из выписки </w:t>
      </w:r>
      <w:proofErr w:type="spellStart"/>
      <w:r w:rsidRPr="00E1039A">
        <w:rPr>
          <w:rFonts w:ascii="Times New Roman" w:hAnsi="Times New Roman"/>
        </w:rPr>
        <w:t>ЕГРН</w:t>
      </w:r>
      <w:proofErr w:type="spellEnd"/>
    </w:p>
    <w:p w:rsidR="00724675" w:rsidRPr="00E1039A" w:rsidRDefault="00724675" w:rsidP="00724675">
      <w:pPr>
        <w:tabs>
          <w:tab w:val="left" w:pos="34"/>
        </w:tabs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2.реквизиты документа, являющегося основанием для приобретения права собственности (договор купли-продажи, договор мены, договор дарения, </w:t>
      </w:r>
      <w:proofErr w:type="spellStart"/>
      <w:r w:rsidRPr="00E1039A">
        <w:rPr>
          <w:rFonts w:ascii="Times New Roman" w:hAnsi="Times New Roman"/>
        </w:rPr>
        <w:t>свид-во</w:t>
      </w:r>
      <w:proofErr w:type="spellEnd"/>
      <w:r w:rsidRPr="00E1039A">
        <w:rPr>
          <w:rFonts w:ascii="Times New Roman" w:hAnsi="Times New Roman"/>
        </w:rPr>
        <w:t xml:space="preserve"> о праве на наследство, решение суда и др.).</w:t>
      </w:r>
    </w:p>
    <w:p w:rsidR="00FC3256" w:rsidRDefault="00FC3256" w:rsidP="00724675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:rsidR="00724675" w:rsidRPr="00E1039A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  <w:b/>
          <w:bCs/>
          <w:u w:val="single"/>
        </w:rPr>
        <w:t>Транспорт:</w:t>
      </w:r>
    </w:p>
    <w:p w:rsidR="00724675" w:rsidRPr="00E1039A" w:rsidRDefault="00724675" w:rsidP="00724675">
      <w:pPr>
        <w:numPr>
          <w:ilvl w:val="0"/>
          <w:numId w:val="4"/>
        </w:numPr>
        <w:tabs>
          <w:tab w:val="clear" w:pos="720"/>
          <w:tab w:val="num" w:pos="175"/>
        </w:tabs>
        <w:spacing w:after="0" w:line="240" w:lineRule="auto"/>
        <w:ind w:left="34" w:firstLine="0"/>
        <w:jc w:val="both"/>
        <w:rPr>
          <w:rFonts w:ascii="Times New Roman" w:hAnsi="Times New Roman"/>
        </w:rPr>
      </w:pPr>
      <w:r w:rsidRPr="00E1039A">
        <w:rPr>
          <w:rFonts w:ascii="Times New Roman" w:hAnsi="Times New Roman"/>
        </w:rPr>
        <w:t xml:space="preserve">Регистрация транспортных средств носит учетный характер и не служит основанием для возникновения (прекращения) права собственности. </w:t>
      </w:r>
    </w:p>
    <w:p w:rsidR="00724675" w:rsidRDefault="00724675" w:rsidP="00724675">
      <w:pPr>
        <w:numPr>
          <w:ilvl w:val="0"/>
          <w:numId w:val="4"/>
        </w:numPr>
        <w:tabs>
          <w:tab w:val="clear" w:pos="720"/>
          <w:tab w:val="num" w:pos="175"/>
        </w:tabs>
        <w:spacing w:after="0" w:line="240" w:lineRule="auto"/>
        <w:ind w:left="34" w:firstLine="0"/>
        <w:jc w:val="both"/>
        <w:rPr>
          <w:rFonts w:ascii="Times New Roman" w:hAnsi="Times New Roman"/>
        </w:rPr>
      </w:pPr>
      <w:proofErr w:type="gramStart"/>
      <w:r w:rsidRPr="00E1039A">
        <w:rPr>
          <w:rFonts w:ascii="Times New Roman" w:hAnsi="Times New Roman"/>
        </w:rPr>
        <w:t xml:space="preserve">Указываются ТС в угоне, в залоге у банка, полностью негодные к эксплуатации, снятые с учета и т.д. </w:t>
      </w:r>
      <w:proofErr w:type="gramEnd"/>
    </w:p>
    <w:p w:rsidR="00724675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</w:p>
    <w:p w:rsidR="00FC3256" w:rsidRDefault="00FC3256" w:rsidP="0072467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24675" w:rsidRPr="00724675" w:rsidRDefault="00724675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724675">
        <w:rPr>
          <w:rFonts w:ascii="Times New Roman" w:hAnsi="Times New Roman"/>
          <w:b/>
        </w:rPr>
        <w:t>Раздел 4. Сведения о счетах в банках и иных кредитных организациях</w:t>
      </w:r>
    </w:p>
    <w:p w:rsidR="00724675" w:rsidRPr="00724675" w:rsidRDefault="00724675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724675">
        <w:rPr>
          <w:rFonts w:ascii="Times New Roman" w:hAnsi="Times New Roman"/>
          <w:b/>
          <w:bCs/>
        </w:rPr>
        <w:t>Отражаются счета, открытые по состоянию на отчетную дату в банках и иных кредитных организациях на основании гражданско-правового договора на имя лица, в отношении которого представляется справка</w:t>
      </w:r>
    </w:p>
    <w:p w:rsidR="00724675" w:rsidRDefault="00724675" w:rsidP="0072467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  <w:b/>
          <w:bCs/>
        </w:rPr>
        <w:t>УКАЗАНИЮ ПОДЛЕЖАТ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>1) счета с нулевым остатком по состоянию на отчетную дату;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 xml:space="preserve">2) счета, совершение операций по которым осуществляется с использованием расчетных (дебетовых) карт, кредитных карт; 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 xml:space="preserve">3) счета в иностранных банках, расположенных за пределами России; 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>4)  счета, открытые для погашения кредита;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>5) вклады в драгоценных металлах и валюте;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>6) счета, открытые гражданам, зарегистрированным в качестве индивидуальных предпринимателей;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>7) номинальный счет;</w:t>
      </w:r>
    </w:p>
    <w:p w:rsidR="00724675" w:rsidRPr="007F73D2" w:rsidRDefault="00724675" w:rsidP="00724675">
      <w:pPr>
        <w:spacing w:after="0" w:line="240" w:lineRule="auto"/>
        <w:jc w:val="both"/>
        <w:rPr>
          <w:rFonts w:ascii="Times New Roman" w:hAnsi="Times New Roman"/>
        </w:rPr>
      </w:pPr>
      <w:r w:rsidRPr="007F73D2">
        <w:rPr>
          <w:rFonts w:ascii="Times New Roman" w:hAnsi="Times New Roman"/>
        </w:rPr>
        <w:t xml:space="preserve">8) счет </w:t>
      </w:r>
      <w:proofErr w:type="spellStart"/>
      <w:r w:rsidRPr="007F73D2">
        <w:rPr>
          <w:rFonts w:ascii="Times New Roman" w:hAnsi="Times New Roman"/>
        </w:rPr>
        <w:t>эскроу</w:t>
      </w:r>
      <w:proofErr w:type="spellEnd"/>
      <w:r w:rsidRPr="007F73D2">
        <w:rPr>
          <w:rFonts w:ascii="Times New Roman" w:hAnsi="Times New Roman"/>
        </w:rPr>
        <w:t xml:space="preserve"> </w:t>
      </w:r>
    </w:p>
    <w:p w:rsidR="00724675" w:rsidRDefault="00724675" w:rsidP="00724675">
      <w:pPr>
        <w:spacing w:after="0" w:line="240" w:lineRule="auto"/>
        <w:jc w:val="center"/>
        <w:rPr>
          <w:b/>
        </w:rPr>
      </w:pPr>
    </w:p>
    <w:p w:rsidR="00724675" w:rsidRDefault="00724675" w:rsidP="00724675">
      <w:pPr>
        <w:spacing w:after="0" w:line="240" w:lineRule="auto"/>
        <w:jc w:val="center"/>
        <w:rPr>
          <w:b/>
        </w:rPr>
      </w:pPr>
      <w:r w:rsidRPr="007F73D2">
        <w:rPr>
          <w:b/>
        </w:rPr>
        <w:t xml:space="preserve">Раздел 5. Сведения о ценных бумагах </w:t>
      </w:r>
    </w:p>
    <w:p w:rsidR="00724675" w:rsidRDefault="005C0029" w:rsidP="005C0029">
      <w:pPr>
        <w:spacing w:after="0" w:line="240" w:lineRule="auto"/>
        <w:rPr>
          <w:b/>
        </w:rPr>
      </w:pPr>
      <w:r w:rsidRPr="005C0029">
        <w:rPr>
          <w:b/>
        </w:rPr>
        <w:drawing>
          <wp:inline distT="0" distB="0" distL="0" distR="0">
            <wp:extent cx="1574358" cy="922351"/>
            <wp:effectExtent l="19050" t="0" r="6792" b="0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7222" cy="1695119"/>
                      <a:chOff x="126239" y="2535936"/>
                      <a:chExt cx="3457222" cy="1695119"/>
                    </a:xfrm>
                  </a:grpSpPr>
                  <a:sp>
                    <a:nvSpPr>
                      <a:cNvPr id="6" name="Скругленная прямоугольная выноска 5"/>
                      <a:cNvSpPr/>
                    </a:nvSpPr>
                    <a:spPr>
                      <a:xfrm>
                        <a:off x="126239" y="2535936"/>
                        <a:ext cx="3457222" cy="1695119"/>
                      </a:xfrm>
                      <a:prstGeom prst="wedgeRoundRectCallout">
                        <a:avLst>
                          <a:gd name="adj1" fmla="val 109131"/>
                          <a:gd name="adj2" fmla="val 96497"/>
                          <a:gd name="adj3" fmla="val 1666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Уставный </a:t>
                          </a:r>
                          <a:r>
                            <a:rPr lang="ru-RU" sz="16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капитал указывается согласно учредительным документам организации по состоянию на отчетную дату</a:t>
                          </a: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C0029">
        <w:rPr>
          <w:b/>
        </w:rPr>
        <w:drawing>
          <wp:inline distT="0" distB="0" distL="0" distR="0">
            <wp:extent cx="1099544" cy="1041621"/>
            <wp:effectExtent l="19050" t="0" r="5356" b="0"/>
            <wp:docPr id="1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41379" cy="2101335"/>
                      <a:chOff x="3705381" y="1846710"/>
                      <a:chExt cx="2541379" cy="2101335"/>
                    </a:xfrm>
                  </a:grpSpPr>
                  <a:sp>
                    <a:nvSpPr>
                      <a:cNvPr id="7" name="Скругленная прямоугольная выноска 6"/>
                      <a:cNvSpPr/>
                    </a:nvSpPr>
                    <a:spPr>
                      <a:xfrm>
                        <a:off x="3705381" y="1846710"/>
                        <a:ext cx="2541379" cy="2101335"/>
                      </a:xfrm>
                      <a:prstGeom prst="wedgeRoundRectCallout">
                        <a:avLst>
                          <a:gd name="adj1" fmla="val 70689"/>
                          <a:gd name="adj2" fmla="val 103087"/>
                          <a:gd name="adj3" fmla="val 1666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Доля </a:t>
                          </a:r>
                          <a:r>
                            <a:rPr lang="ru-RU" sz="16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участия выражается в процентах от уставного капитала. Для </a:t>
                          </a:r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АО указываются </a:t>
                          </a:r>
                          <a:r>
                            <a:rPr lang="ru-RU" sz="16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также </a:t>
                          </a:r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стоимость </a:t>
                          </a:r>
                          <a:r>
                            <a:rPr lang="ru-RU" sz="16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и количество </a:t>
                          </a:r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акций</a:t>
                          </a:r>
                          <a:endParaRPr lang="ru-RU" sz="16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Comic Sans MS" panose="030F0702030302020204" pitchFamily="66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C0029">
        <w:rPr>
          <w:b/>
        </w:rPr>
        <w:drawing>
          <wp:inline distT="0" distB="0" distL="0" distR="0">
            <wp:extent cx="1205451" cy="954157"/>
            <wp:effectExtent l="19050" t="0" r="0" b="0"/>
            <wp:docPr id="14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45424" cy="2415128"/>
                      <a:chOff x="6291072" y="1628801"/>
                      <a:chExt cx="2745424" cy="2415128"/>
                    </a:xfrm>
                  </a:grpSpPr>
                  <a:sp>
                    <a:nvSpPr>
                      <a:cNvPr id="8" name="Скругленная прямоугольная выноска 7"/>
                      <a:cNvSpPr/>
                    </a:nvSpPr>
                    <a:spPr>
                      <a:xfrm>
                        <a:off x="6291072" y="1628801"/>
                        <a:ext cx="2745424" cy="2415128"/>
                      </a:xfrm>
                      <a:prstGeom prst="wedgeRoundRectCallout">
                        <a:avLst>
                          <a:gd name="adj1" fmla="val 13158"/>
                          <a:gd name="adj2" fmla="val 84163"/>
                          <a:gd name="adj3" fmla="val 16667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Прим.: учредительный </a:t>
                          </a:r>
                          <a:r>
                            <a:rPr lang="ru-RU" sz="16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договор, приватизация, покупка, мена, дарение, наследование и </a:t>
                          </a:r>
                          <a:r>
                            <a:rPr lang="ru-RU" sz="1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др., </a:t>
                          </a:r>
                          <a:r>
                            <a:rPr lang="ru-RU" sz="1600" b="1" u="sng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указать </a:t>
                          </a:r>
                          <a:r>
                            <a:rPr lang="ru-RU" sz="1600" b="1" u="sng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реквизиты </a:t>
                          </a:r>
                          <a:r>
                            <a:rPr lang="ru-RU" sz="1600" b="1" u="sng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mic Sans MS" panose="030F0702030302020204" pitchFamily="66" charset="0"/>
                            </a:rPr>
                            <a:t>документа</a:t>
                          </a:r>
                          <a:endParaRPr lang="ru-RU" sz="1600" b="1" u="sng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Comic Sans MS" panose="030F0702030302020204" pitchFamily="66" charset="0"/>
                          </a:endParaRPr>
                        </a:p>
                      </a:txBody>
                      <a:useSpRect/>
                    </a:txSp>
                    <a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5C0029">
        <w:rPr>
          <w:b/>
        </w:rPr>
        <w:drawing>
          <wp:inline distT="0" distB="0" distL="0" distR="0">
            <wp:extent cx="3803531" cy="1369887"/>
            <wp:effectExtent l="190500" t="152400" r="177919" b="135063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3624" t="8749" r="30818" b="71896"/>
                    <a:stretch/>
                  </pic:blipFill>
                  <pic:spPr bwMode="auto">
                    <a:xfrm>
                      <a:off x="0" y="0"/>
                      <a:ext cx="3805680" cy="1370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36967" w:rsidRPr="00FC3256" w:rsidRDefault="00F36967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FC3256">
        <w:rPr>
          <w:rFonts w:ascii="Times New Roman" w:hAnsi="Times New Roman"/>
          <w:b/>
        </w:rPr>
        <w:t>Подраздел 5.2</w:t>
      </w:r>
      <w:r w:rsidR="00E251B1" w:rsidRPr="00FC3256">
        <w:rPr>
          <w:rFonts w:ascii="Times New Roman" w:hAnsi="Times New Roman"/>
          <w:b/>
        </w:rPr>
        <w:t>.</w:t>
      </w:r>
      <w:r w:rsidRPr="00FC3256">
        <w:rPr>
          <w:rFonts w:ascii="Times New Roman" w:hAnsi="Times New Roman"/>
          <w:b/>
        </w:rPr>
        <w:t xml:space="preserve"> </w:t>
      </w:r>
      <w:proofErr w:type="gramStart"/>
      <w:r w:rsidRPr="00FC3256">
        <w:rPr>
          <w:rFonts w:ascii="Times New Roman" w:hAnsi="Times New Roman"/>
          <w:b/>
        </w:rPr>
        <w:t>И</w:t>
      </w:r>
      <w:proofErr w:type="gramEnd"/>
      <w:r w:rsidRPr="00FC3256">
        <w:rPr>
          <w:rFonts w:ascii="Times New Roman" w:hAnsi="Times New Roman"/>
          <w:b/>
        </w:rPr>
        <w:t>ные ценные бумаги</w:t>
      </w:r>
    </w:p>
    <w:p w:rsidR="00000000" w:rsidRPr="00FC3256" w:rsidRDefault="00A6729A" w:rsidP="00FC3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вексель, </w:t>
      </w:r>
    </w:p>
    <w:p w:rsidR="00000000" w:rsidRPr="00FC3256" w:rsidRDefault="00A6729A" w:rsidP="00FC3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закладная, </w:t>
      </w:r>
    </w:p>
    <w:p w:rsidR="00000000" w:rsidRPr="00FC3256" w:rsidRDefault="00A6729A" w:rsidP="00FC3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инвестиционный пай паевого инвестиционного фонда, коносамент, </w:t>
      </w:r>
    </w:p>
    <w:p w:rsidR="00000000" w:rsidRPr="00FC3256" w:rsidRDefault="00A6729A" w:rsidP="00FC3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облигация, чек, </w:t>
      </w:r>
    </w:p>
    <w:p w:rsidR="00000000" w:rsidRPr="00FC3256" w:rsidRDefault="00A6729A" w:rsidP="00FC3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сберегательный сертификат, </w:t>
      </w:r>
    </w:p>
    <w:p w:rsidR="00000000" w:rsidRPr="00FC3256" w:rsidRDefault="00A6729A" w:rsidP="00FC325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C3256">
        <w:rPr>
          <w:rFonts w:ascii="Times New Roman" w:hAnsi="Times New Roman"/>
        </w:rPr>
        <w:t>цифровое свидетельство и т.д</w:t>
      </w:r>
      <w:r w:rsidRPr="00FC3256">
        <w:rPr>
          <w:rFonts w:ascii="Times New Roman" w:hAnsi="Times New Roman"/>
          <w:b/>
        </w:rPr>
        <w:t>.</w:t>
      </w:r>
    </w:p>
    <w:p w:rsidR="00F36967" w:rsidRPr="00FC3256" w:rsidRDefault="00F36967" w:rsidP="00FC32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3256">
        <w:rPr>
          <w:rFonts w:ascii="Times New Roman" w:hAnsi="Times New Roman"/>
          <w:bCs/>
        </w:rPr>
        <w:t xml:space="preserve">Сведения о ценных бумагах, переданных в доверительное управление, так же подлежат отражению. </w:t>
      </w:r>
      <w:r w:rsidR="007A253C" w:rsidRPr="00FC3256">
        <w:rPr>
          <w:rFonts w:ascii="Times New Roman" w:hAnsi="Times New Roman"/>
          <w:bCs/>
        </w:rPr>
        <w:t>А</w:t>
      </w:r>
      <w:r w:rsidRPr="00FC3256">
        <w:rPr>
          <w:rFonts w:ascii="Times New Roman" w:hAnsi="Times New Roman"/>
          <w:bCs/>
        </w:rPr>
        <w:t xml:space="preserve">кции, указанные в подразделе 5.1., повторно не </w:t>
      </w:r>
      <w:proofErr w:type="gramStart"/>
      <w:r w:rsidRPr="00FC3256">
        <w:rPr>
          <w:rFonts w:ascii="Times New Roman" w:hAnsi="Times New Roman"/>
          <w:bCs/>
        </w:rPr>
        <w:lastRenderedPageBreak/>
        <w:t>отражаются</w:t>
      </w:r>
      <w:proofErr w:type="gramEnd"/>
      <w:r w:rsidRPr="00FC3256">
        <w:rPr>
          <w:rFonts w:ascii="Times New Roman" w:hAnsi="Times New Roman"/>
          <w:bCs/>
        </w:rPr>
        <w:t xml:space="preserve"> сертификат на материнский капитал не является ценной бумагой</w:t>
      </w:r>
      <w:r w:rsidR="007A253C" w:rsidRPr="00FC3256">
        <w:rPr>
          <w:rFonts w:ascii="Times New Roman" w:hAnsi="Times New Roman"/>
          <w:bCs/>
        </w:rPr>
        <w:t xml:space="preserve"> </w:t>
      </w:r>
      <w:r w:rsidRPr="00FC3256">
        <w:rPr>
          <w:rFonts w:ascii="Times New Roman" w:hAnsi="Times New Roman"/>
          <w:bCs/>
        </w:rPr>
        <w:t>необходимо обращать внимание на держателя информации</w:t>
      </w:r>
      <w:r w:rsidR="007A253C" w:rsidRPr="00FC3256">
        <w:rPr>
          <w:rFonts w:ascii="Times New Roman" w:hAnsi="Times New Roman"/>
          <w:bCs/>
        </w:rPr>
        <w:t>.</w:t>
      </w:r>
      <w:r w:rsidRPr="00FC3256">
        <w:rPr>
          <w:rFonts w:ascii="Times New Roman" w:hAnsi="Times New Roman"/>
          <w:bCs/>
        </w:rPr>
        <w:t xml:space="preserve"> </w:t>
      </w:r>
    </w:p>
    <w:p w:rsidR="007A253C" w:rsidRPr="00FC3256" w:rsidRDefault="007A253C" w:rsidP="00FC325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24675" w:rsidRPr="00FC3256" w:rsidRDefault="00F36967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FC3256">
        <w:rPr>
          <w:rFonts w:ascii="Times New Roman" w:hAnsi="Times New Roman"/>
          <w:b/>
          <w:bCs/>
        </w:rPr>
        <w:t>Подраздел 6.1. Объекты недвижимого имущества, находящиеся в пользовании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C3256">
        <w:rPr>
          <w:rFonts w:ascii="Times New Roman" w:hAnsi="Times New Roman"/>
        </w:rPr>
        <w:t>фактическое проживание без заключения договора аренды;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имеется регистрация (постоянная или временная); 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по договору аренды (найма); 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по договорам социального найма;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proofErr w:type="gramStart"/>
      <w:r w:rsidRPr="00FC3256">
        <w:rPr>
          <w:rFonts w:ascii="Times New Roman" w:hAnsi="Times New Roman"/>
        </w:rPr>
        <w:t xml:space="preserve">используемых </w:t>
      </w:r>
      <w:r w:rsidRPr="00FC3256">
        <w:rPr>
          <w:rFonts w:ascii="Times New Roman" w:hAnsi="Times New Roman"/>
        </w:rPr>
        <w:t>для бытовых нужд, но не зарегистрированных в Росреестре;</w:t>
      </w:r>
      <w:proofErr w:type="gramEnd"/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используемые, но не зарегистрированные объекты незавершенного строительства; 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proofErr w:type="gramStart"/>
      <w:r w:rsidRPr="00FC3256">
        <w:rPr>
          <w:rFonts w:ascii="Times New Roman" w:hAnsi="Times New Roman"/>
        </w:rPr>
        <w:t>принадлежащих</w:t>
      </w:r>
      <w:proofErr w:type="gramEnd"/>
      <w:r w:rsidRPr="00FC3256">
        <w:rPr>
          <w:rFonts w:ascii="Times New Roman" w:hAnsi="Times New Roman"/>
        </w:rPr>
        <w:t xml:space="preserve"> на праве пожизненного наследуемого владения;</w:t>
      </w:r>
    </w:p>
    <w:p w:rsidR="00000000" w:rsidRPr="00FC3256" w:rsidRDefault="00A6729A" w:rsidP="00FC3256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объекты пользования </w:t>
      </w:r>
      <w:proofErr w:type="spellStart"/>
      <w:r w:rsidRPr="00FC3256">
        <w:rPr>
          <w:rFonts w:ascii="Times New Roman" w:hAnsi="Times New Roman"/>
        </w:rPr>
        <w:t>ИП</w:t>
      </w:r>
      <w:proofErr w:type="spellEnd"/>
      <w:r w:rsidRPr="00FC3256">
        <w:rPr>
          <w:rFonts w:ascii="Times New Roman" w:hAnsi="Times New Roman"/>
        </w:rPr>
        <w:t xml:space="preserve">. </w:t>
      </w:r>
    </w:p>
    <w:p w:rsidR="00B9453D" w:rsidRPr="00FC3256" w:rsidRDefault="00B9453D" w:rsidP="00FC3256">
      <w:pPr>
        <w:spacing w:after="0" w:line="240" w:lineRule="auto"/>
        <w:rPr>
          <w:rFonts w:ascii="Times New Roman" w:hAnsi="Times New Roman"/>
        </w:rPr>
      </w:pPr>
    </w:p>
    <w:p w:rsidR="00B9453D" w:rsidRPr="00FC3256" w:rsidRDefault="00FB0B7A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FC3256">
        <w:rPr>
          <w:rFonts w:ascii="Times New Roman" w:hAnsi="Times New Roman"/>
          <w:b/>
        </w:rPr>
        <w:t>Подраздел 6.2. Срочные обязательства финансового характера</w:t>
      </w:r>
    </w:p>
    <w:p w:rsidR="00FB0B7A" w:rsidRPr="00FC3256" w:rsidRDefault="00FB0B7A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FC3256">
        <w:rPr>
          <w:rFonts w:ascii="Times New Roman" w:hAnsi="Times New Roman"/>
          <w:b/>
        </w:rPr>
        <w:t xml:space="preserve">Указывается каждое имеющееся на отчетную дату срочное обязательство финансового характера </w:t>
      </w:r>
      <w:r w:rsidRPr="00FC3256">
        <w:rPr>
          <w:rFonts w:ascii="Times New Roman" w:hAnsi="Times New Roman"/>
          <w:b/>
          <w:bCs/>
        </w:rPr>
        <w:t>на сумму, равную или превышающую 500 000 руб.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кредиты;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договор финансовой аренды (лизинг);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договор займа;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уступка права требования;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обязательства вследствие причинения вреда;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алименты;</w:t>
      </w:r>
    </w:p>
    <w:p w:rsidR="00000000" w:rsidRPr="00FC3256" w:rsidRDefault="00A6729A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брокерские займы;</w:t>
      </w:r>
    </w:p>
    <w:p w:rsidR="00364ADF" w:rsidRPr="00FC3256" w:rsidRDefault="00364ADF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  <w:b/>
          <w:bCs/>
          <w:u w:val="single"/>
        </w:rPr>
        <w:t>Указываются</w:t>
      </w:r>
      <w:r w:rsidRPr="00FC3256">
        <w:rPr>
          <w:rFonts w:ascii="Times New Roman" w:hAnsi="Times New Roman"/>
          <w:b/>
          <w:bCs/>
        </w:rPr>
        <w:t>: 1) страхование жизни на случай смерти или дожития до определенного возраста,</w:t>
      </w:r>
    </w:p>
    <w:p w:rsidR="00364ADF" w:rsidRPr="00FC3256" w:rsidRDefault="00364ADF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  <w:b/>
          <w:bCs/>
        </w:rPr>
        <w:t>2) пенсионное страхование,</w:t>
      </w:r>
    </w:p>
    <w:p w:rsidR="00364ADF" w:rsidRPr="00FC3256" w:rsidRDefault="00364ADF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  <w:b/>
          <w:bCs/>
        </w:rPr>
        <w:t xml:space="preserve">3) страхования жизни с условием периодических страховых выплат (ренты, аннуитетов) и (или) с участием страхователя в инвестиционном доходе страховщика </w:t>
      </w:r>
    </w:p>
    <w:p w:rsidR="00364ADF" w:rsidRPr="00FC3256" w:rsidRDefault="00364ADF" w:rsidP="00FC3256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  <w:b/>
          <w:bCs/>
          <w:u w:val="single"/>
        </w:rPr>
        <w:t xml:space="preserve">НЕ указываются: </w:t>
      </w:r>
      <w:proofErr w:type="spellStart"/>
      <w:r w:rsidRPr="00FC3256">
        <w:rPr>
          <w:rFonts w:ascii="Times New Roman" w:hAnsi="Times New Roman"/>
          <w:b/>
          <w:bCs/>
        </w:rPr>
        <w:t>ОСАГО</w:t>
      </w:r>
      <w:proofErr w:type="spellEnd"/>
      <w:r w:rsidRPr="00FC3256">
        <w:rPr>
          <w:rFonts w:ascii="Times New Roman" w:hAnsi="Times New Roman"/>
          <w:b/>
          <w:bCs/>
        </w:rPr>
        <w:t xml:space="preserve">, КАСКО, страховки по ипотеке </w:t>
      </w:r>
    </w:p>
    <w:p w:rsidR="00FC3256" w:rsidRDefault="00FC3256" w:rsidP="00FC325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B0B7A" w:rsidRPr="00FC3256" w:rsidRDefault="00364ADF" w:rsidP="00FC3256">
      <w:pPr>
        <w:spacing w:after="0" w:line="240" w:lineRule="auto"/>
        <w:jc w:val="center"/>
        <w:rPr>
          <w:rFonts w:ascii="Times New Roman" w:hAnsi="Times New Roman"/>
          <w:b/>
        </w:rPr>
      </w:pPr>
      <w:r w:rsidRPr="00FC3256">
        <w:rPr>
          <w:rFonts w:ascii="Times New Roman" w:hAnsi="Times New Roman"/>
          <w:b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00000" w:rsidRPr="00FC3256" w:rsidRDefault="00A6729A" w:rsidP="00FC3256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договор дарения, </w:t>
      </w:r>
    </w:p>
    <w:p w:rsidR="00000000" w:rsidRPr="00FC3256" w:rsidRDefault="00A6729A" w:rsidP="00FC3256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соглашение о разделе имущества, </w:t>
      </w:r>
    </w:p>
    <w:p w:rsidR="00000000" w:rsidRPr="00FC3256" w:rsidRDefault="00A6729A" w:rsidP="00FC3256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 xml:space="preserve">договор (соглашение) об определении долей, </w:t>
      </w:r>
    </w:p>
    <w:p w:rsidR="00000000" w:rsidRPr="00FC3256" w:rsidRDefault="00A6729A" w:rsidP="00FC3256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брачный договор, который определяет порядок владения ранее совместно нажитого имущества,</w:t>
      </w:r>
    </w:p>
    <w:p w:rsidR="00000000" w:rsidRPr="00FC3256" w:rsidRDefault="00A6729A" w:rsidP="00FC3256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FC3256">
        <w:rPr>
          <w:rFonts w:ascii="Times New Roman" w:hAnsi="Times New Roman"/>
        </w:rPr>
        <w:t>отчуждение доли имущества в связи с использованием средств материнского капитала</w:t>
      </w:r>
    </w:p>
    <w:p w:rsidR="00B9453D" w:rsidRDefault="00A6729A" w:rsidP="00FC3256">
      <w:pPr>
        <w:numPr>
          <w:ilvl w:val="0"/>
          <w:numId w:val="9"/>
        </w:numPr>
        <w:spacing w:after="0" w:line="240" w:lineRule="auto"/>
      </w:pPr>
      <w:r w:rsidRPr="00FC3256">
        <w:rPr>
          <w:rFonts w:ascii="Times New Roman" w:hAnsi="Times New Roman"/>
        </w:rPr>
        <w:t xml:space="preserve">другие </w:t>
      </w:r>
    </w:p>
    <w:sectPr w:rsidR="00B9453D" w:rsidSect="00FC3256">
      <w:pgSz w:w="16838" w:h="11906" w:orient="landscape"/>
      <w:pgMar w:top="142" w:right="395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218"/>
    <w:multiLevelType w:val="hybridMultilevel"/>
    <w:tmpl w:val="EE68A110"/>
    <w:lvl w:ilvl="0" w:tplc="83A280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6B3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CC4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80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A9D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0C5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446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21C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2E7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F3B7E"/>
    <w:multiLevelType w:val="hybridMultilevel"/>
    <w:tmpl w:val="DB8E9844"/>
    <w:lvl w:ilvl="0" w:tplc="EEEA4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AF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43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4C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A0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8E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20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64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C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0A03C3"/>
    <w:multiLevelType w:val="hybridMultilevel"/>
    <w:tmpl w:val="DA44DDD4"/>
    <w:lvl w:ilvl="0" w:tplc="AAD2AA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26E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241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A5C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CE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C237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F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D6BF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C1C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F5C9D"/>
    <w:multiLevelType w:val="hybridMultilevel"/>
    <w:tmpl w:val="6D526C88"/>
    <w:lvl w:ilvl="0" w:tplc="256E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0D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E7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2E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49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E7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6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0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8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9742DC"/>
    <w:multiLevelType w:val="hybridMultilevel"/>
    <w:tmpl w:val="646CEB88"/>
    <w:lvl w:ilvl="0" w:tplc="489E27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E94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87F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812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0A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034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2F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2D3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242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A3679C"/>
    <w:multiLevelType w:val="hybridMultilevel"/>
    <w:tmpl w:val="4F1A2844"/>
    <w:lvl w:ilvl="0" w:tplc="1358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48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0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0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E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98E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60C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E4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80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8442BB"/>
    <w:multiLevelType w:val="hybridMultilevel"/>
    <w:tmpl w:val="870E8C0C"/>
    <w:lvl w:ilvl="0" w:tplc="3F2E5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4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60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4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61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8C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7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4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06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00012E"/>
    <w:multiLevelType w:val="hybridMultilevel"/>
    <w:tmpl w:val="C7CC73D0"/>
    <w:lvl w:ilvl="0" w:tplc="52922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8E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23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C6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E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83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46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42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AA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2650B3E"/>
    <w:multiLevelType w:val="hybridMultilevel"/>
    <w:tmpl w:val="EDF0B7A8"/>
    <w:lvl w:ilvl="0" w:tplc="3C282D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B5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722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03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CA2C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AF0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A228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C482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8642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53D"/>
    <w:rsid w:val="00132CC3"/>
    <w:rsid w:val="00187248"/>
    <w:rsid w:val="002A6B4D"/>
    <w:rsid w:val="00364ADF"/>
    <w:rsid w:val="005C0029"/>
    <w:rsid w:val="00724675"/>
    <w:rsid w:val="007A253C"/>
    <w:rsid w:val="007E190D"/>
    <w:rsid w:val="00814522"/>
    <w:rsid w:val="00831CC6"/>
    <w:rsid w:val="00847F8C"/>
    <w:rsid w:val="008938F2"/>
    <w:rsid w:val="008C6EFF"/>
    <w:rsid w:val="0098647D"/>
    <w:rsid w:val="009B7BA0"/>
    <w:rsid w:val="009C7996"/>
    <w:rsid w:val="00A6729A"/>
    <w:rsid w:val="00B837E3"/>
    <w:rsid w:val="00B9453D"/>
    <w:rsid w:val="00E251B1"/>
    <w:rsid w:val="00F36967"/>
    <w:rsid w:val="00FB0B7A"/>
    <w:rsid w:val="00FC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3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453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6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9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0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7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1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09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3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1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0;&#1073;&#1076;&#1076;.&#1088;&#1092;/" TargetMode="External"/><Relationship Id="rId13" Type="http://schemas.openxmlformats.org/officeDocument/2006/relationships/hyperlink" Target="http://fssprus.ru/" TargetMode="External"/><Relationship Id="rId18" Type="http://schemas.openxmlformats.org/officeDocument/2006/relationships/hyperlink" Target="https://rosreestr.ru/wps/portal/online_reques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3.png"/><Relationship Id="rId12" Type="http://schemas.openxmlformats.org/officeDocument/2006/relationships/hyperlink" Target="http://fssprus.ru/" TargetMode="External"/><Relationship Id="rId17" Type="http://schemas.openxmlformats.org/officeDocument/2006/relationships/hyperlink" Target="https://rosreestr.ru/wps/portal/online_requ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lk.fss.ru/" TargetMode="External"/><Relationship Id="rId20" Type="http://schemas.openxmlformats.org/officeDocument/2006/relationships/hyperlink" Target="https://egrul.nalog.ru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kfl2.nalog.ru/lkfl/logi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k.fs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kfl2.nalog.ru/lkfl/login" TargetMode="External"/><Relationship Id="rId19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5;&#1080;&#1073;&#1076;&#1076;.&#1088;&#1092;/" TargetMode="External"/><Relationship Id="rId14" Type="http://schemas.openxmlformats.org/officeDocument/2006/relationships/hyperlink" Target="https://es.pf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10</cp:revision>
  <cp:lastPrinted>2022-03-24T07:36:00Z</cp:lastPrinted>
  <dcterms:created xsi:type="dcterms:W3CDTF">2022-03-24T06:37:00Z</dcterms:created>
  <dcterms:modified xsi:type="dcterms:W3CDTF">2022-03-24T07:44:00Z</dcterms:modified>
</cp:coreProperties>
</file>