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28" w:rsidRDefault="00594A28" w:rsidP="00DC287E">
      <w:pPr>
        <w:pStyle w:val="ConsPlusTitlePage"/>
      </w:pPr>
      <w:bookmarkStart w:id="0" w:name="_GoBack"/>
      <w:bookmarkEnd w:id="0"/>
    </w:p>
    <w:p w:rsidR="00594A28" w:rsidRDefault="00594A28">
      <w:pPr>
        <w:pStyle w:val="ConsPlusNormal"/>
        <w:jc w:val="right"/>
        <w:outlineLvl w:val="0"/>
      </w:pPr>
      <w:r>
        <w:t>Приложение 12</w:t>
      </w:r>
    </w:p>
    <w:p w:rsidR="00594A28" w:rsidRDefault="00594A28">
      <w:pPr>
        <w:pStyle w:val="ConsPlusNormal"/>
        <w:jc w:val="right"/>
      </w:pPr>
      <w:r>
        <w:t>к Постановлению</w:t>
      </w:r>
    </w:p>
    <w:p w:rsidR="00594A28" w:rsidRDefault="00594A28">
      <w:pPr>
        <w:pStyle w:val="ConsPlusNormal"/>
        <w:jc w:val="right"/>
      </w:pPr>
      <w:r>
        <w:t>администрации муниципального района</w:t>
      </w:r>
    </w:p>
    <w:p w:rsidR="00594A28" w:rsidRDefault="00594A28">
      <w:pPr>
        <w:pStyle w:val="ConsPlusNormal"/>
        <w:jc w:val="right"/>
      </w:pPr>
      <w:r>
        <w:t>"Корткеросский"</w:t>
      </w:r>
    </w:p>
    <w:p w:rsidR="00594A28" w:rsidRDefault="00594A28">
      <w:pPr>
        <w:pStyle w:val="ConsPlusNormal"/>
        <w:jc w:val="right"/>
      </w:pPr>
      <w:r>
        <w:t>от 6 апреля 2018 г. N 330</w:t>
      </w:r>
    </w:p>
    <w:p w:rsidR="00594A28" w:rsidRDefault="00594A28">
      <w:pPr>
        <w:pStyle w:val="ConsPlusNormal"/>
      </w:pPr>
    </w:p>
    <w:p w:rsidR="00594A28" w:rsidRDefault="00594A28">
      <w:pPr>
        <w:pStyle w:val="ConsPlusTitle"/>
        <w:jc w:val="center"/>
      </w:pPr>
      <w:bookmarkStart w:id="1" w:name="P1737"/>
      <w:bookmarkEnd w:id="1"/>
      <w:r>
        <w:t>ПОЛОЖЕНИЕ</w:t>
      </w:r>
    </w:p>
    <w:p w:rsidR="00594A28" w:rsidRDefault="00594A28">
      <w:pPr>
        <w:pStyle w:val="ConsPlusTitle"/>
        <w:jc w:val="center"/>
      </w:pPr>
      <w:r>
        <w:t>О КОМИССИИ ПО СОБЛЮДЕНИЮ ТРЕБОВАНИЙ К СЛУЖЕБНОМУ</w:t>
      </w:r>
    </w:p>
    <w:p w:rsidR="00594A28" w:rsidRDefault="00594A28">
      <w:pPr>
        <w:pStyle w:val="ConsPlusTitle"/>
        <w:jc w:val="center"/>
      </w:pPr>
      <w:r>
        <w:t>ПОВЕДЕНИЮ МУНИЦИПАЛЬНЫХ СЛУЖАЩИХ СЕЛЬСКИХ ПОСЕЛЕНИЙ,</w:t>
      </w:r>
    </w:p>
    <w:p w:rsidR="00594A28" w:rsidRDefault="00594A28">
      <w:pPr>
        <w:pStyle w:val="ConsPlusTitle"/>
        <w:jc w:val="center"/>
      </w:pPr>
      <w:r>
        <w:t>РАСПОЛОЖЕННЫХ В ГРАНИЦАХ МУНИЦИПАЛЬНОГО РАЙОНА</w:t>
      </w:r>
    </w:p>
    <w:p w:rsidR="00594A28" w:rsidRDefault="00594A28">
      <w:pPr>
        <w:pStyle w:val="ConsPlusTitle"/>
        <w:jc w:val="center"/>
      </w:pPr>
      <w:r>
        <w:t>"КОРТКЕРОССКИЙ" И УРЕГУЛИРОВАНИЮ КОНФЛИКТА ИНТЕРЕСОВ</w:t>
      </w:r>
    </w:p>
    <w:p w:rsidR="00594A28" w:rsidRDefault="00594A2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4A2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28" w:rsidRDefault="00594A2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28" w:rsidRDefault="00594A2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4A28" w:rsidRDefault="00594A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94A28" w:rsidRDefault="00594A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 "Корткеросский"</w:t>
            </w:r>
          </w:p>
          <w:p w:rsidR="00594A28" w:rsidRDefault="00594A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04.06.2020 </w:t>
            </w:r>
            <w:hyperlink r:id="rId4" w:history="1">
              <w:r>
                <w:rPr>
                  <w:color w:val="0000FF"/>
                </w:rPr>
                <w:t>N 747</w:t>
              </w:r>
            </w:hyperlink>
            <w:r>
              <w:rPr>
                <w:color w:val="392C69"/>
              </w:rPr>
              <w:t xml:space="preserve">, от 17.08.2020 </w:t>
            </w:r>
            <w:hyperlink r:id="rId5" w:history="1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 xml:space="preserve">, от 12.04.2021 </w:t>
            </w:r>
            <w:hyperlink r:id="rId6" w:history="1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A28" w:rsidRDefault="00594A28">
            <w:pPr>
              <w:spacing w:after="1" w:line="0" w:lineRule="atLeast"/>
            </w:pPr>
          </w:p>
        </w:tc>
      </w:tr>
    </w:tbl>
    <w:p w:rsidR="00594A28" w:rsidRDefault="00594A28">
      <w:pPr>
        <w:pStyle w:val="ConsPlusNormal"/>
      </w:pPr>
    </w:p>
    <w:p w:rsidR="00594A28" w:rsidRDefault="00594A28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 муниципальных образований сельских поселений, расположенных в границах муниципального района "Корткеросский" (далее - органы),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руководствуются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Республики Коми, законами Республики Коми, правовыми актами Главы Республики Коми и Правительства Республики Коми, муниципальными правовыми актами и настоящим Положением.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органам: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сельских поселений, расположенных в границах муниципального образования муниципального района "Корткеросский"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нормативными правовыми актами Республики Коми, муниципальными правовыми актами (далее - требования к служебному поведению и (или) требования об урегулировании конфликта интересов);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в осуществлении в органе мер по предупреждению коррупции;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в) в рассмотрении обращений граждан, замещавших в органе должности муниципальной службы, о даче согласия на замещение должностей в организациях и (или) на выполнение в данных организациях работ (оказание данным организациям услуг) в соответствии со </w:t>
      </w:r>
      <w:hyperlink r:id="rId11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(за исключением муниципальных служащих, замещающих должности руководителя сельского поселения, расположенного в границах муниципального района "Корткеросский" по контракту).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lastRenderedPageBreak/>
        <w:t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руководителя сельского поселения, расположенного в границах муниципального района "Корткеросский", контракту, рассматриваются комиссией по противодействию коррупции в муниципальном районе "Корткеросский" в установленном порядке.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6. Состав комиссии утверждается правовым актом органа.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7. В состав комиссии входят председатель комиссии, его заместитель, назначаемый руководителем органа из числа членов комиссии, замещающих должности муниципальной службы в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" w:name="P1756"/>
      <w:bookmarkEnd w:id="2"/>
      <w:r>
        <w:t>8. В состав комиссии входят: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- заместитель руководителя органа (председатель комиссии),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- должностное лицо управления правовой и кадровой работы (специалист, ответственный за профилактику коррупционных правонарушений) (секретарь комиссии),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- муниципальные служащие и специалисты юридического (правового) подразделения, других подразделений органа, отраслевых (функциональных) органов, имеющих статус отдельного юридического лица, определяемые его руководителем.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9. Руководитель органа может принять решение о включении в состав комиссии: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а) представителя </w:t>
      </w:r>
      <w:proofErr w:type="gramStart"/>
      <w:r>
        <w:t>Общественного совета</w:t>
      </w:r>
      <w:proofErr w:type="gramEnd"/>
      <w:r>
        <w:t xml:space="preserve"> образованного при органе;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представителей общественных объединений;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в) депутатов представительного органа соответствующего муниципального образования.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1756" w:history="1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в установленном порядке по согласованию с администрацией муниципального района "Корткеросский", организациями дополнительного образования, с общественным советом, образованным при органе, с общественными объединениями, с профсоюзной организацией, действующей в установленном порядке в органе, представительным органом соответствующего муниципального образования на основании запроса руководителя органа. Согласование осуществляется в 10-дневный срок со дня получения запроса.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10. Число членов комиссии, не замещающих должности муниципальной службы в органе, должно составлять не менее одной четверти от общего числа членов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3" w:name="P1769"/>
      <w:bookmarkEnd w:id="3"/>
      <w:r>
        <w:lastRenderedPageBreak/>
        <w:t>б) другие муниципальные служащие, замещающие должности муниципальной службы в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органе, недопустимо.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4" w:name="P1772"/>
      <w:bookmarkEnd w:id="4"/>
      <w:r>
        <w:t>15. Основаниями для проведения заседания комиссии являются: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5" w:name="P1773"/>
      <w:bookmarkEnd w:id="5"/>
      <w:r>
        <w:t>а) представление руководителем органа доклада о результатах проверки и материалов проверки, проведенной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 в органе, и муниципальными служащими органа, и соблюдения муниципальными служащими требований к служебному поведению, свидетельствующих: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6" w:name="P1774"/>
      <w:bookmarkEnd w:id="6"/>
      <w: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7" w:name="P1775"/>
      <w:bookmarkEnd w:id="7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8" w:name="P1776"/>
      <w:bookmarkEnd w:id="8"/>
      <w:r>
        <w:t>б) поступившее в установленном порядке должностному лицу, ответственному за профилактику коррупционных правонарушений органа: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9" w:name="P1777"/>
      <w:bookmarkEnd w:id="9"/>
      <w:r>
        <w:t>- 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0" w:name="P1778"/>
      <w:bookmarkEnd w:id="10"/>
      <w:r>
        <w:t>- обращение муниципального служащего о разрешении участия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1" w:name="P1779"/>
      <w:bookmarkEnd w:id="11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2" w:name="P1780"/>
      <w:bookmarkEnd w:id="12"/>
      <w:r>
        <w:lastRenderedPageBreak/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3" w:name="P1781"/>
      <w:bookmarkEnd w:id="13"/>
      <w:r>
        <w:t>в) представление руководителя органа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мер по предупреждению коррупции, в том числе о рассмотрении: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4" w:name="P1782"/>
      <w:bookmarkEnd w:id="14"/>
      <w:r>
        <w:t>- поступившего уведомления муниципального служащего о намерении выполнять иную оплачиваемую работу и установлении наличия или отсутствия в случае выполнения данной работы конфликта интересов;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- поступившего уведомления муниципального служащего о владении ценными бумагами, акциями (долями участия, паями в уставных (складочных) капиталах организаций) и установлении наличия или отсутствия в данном случае конфликта интересов;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- информации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</w:t>
      </w:r>
      <w:hyperlink r:id="rId12" w:history="1">
        <w:r>
          <w:rPr>
            <w:color w:val="0000FF"/>
          </w:rPr>
          <w:t>статьей 14.2</w:t>
        </w:r>
      </w:hyperlink>
      <w:r>
        <w:t xml:space="preserve"> Федерального закона от 2 марта 2007 года N 25-ФЗ "О муниципальной службе в Российской Федерации";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5" w:name="P1785"/>
      <w:bookmarkEnd w:id="15"/>
      <w:r>
        <w:t>- информация о наличии у муниципального служащего личной заинтересованности, которая приводит или может привести к конфликту интересов;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6" w:name="P1786"/>
      <w:bookmarkEnd w:id="16"/>
      <w:r>
        <w:t xml:space="preserve">г) представление руководителем органа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7" w:name="P1787"/>
      <w:bookmarkEnd w:id="17"/>
      <w:r>
        <w:t xml:space="preserve">д) поступившее в соответствии с </w:t>
      </w:r>
      <w:hyperlink r:id="rId1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1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уведомление коммерческой или некоммерческой организации о заключении с гражданином, замещавшим должность муниципальной службы в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8" w:name="P1789"/>
      <w:bookmarkEnd w:id="18"/>
      <w:r>
        <w:t xml:space="preserve">17. Обращение, указанное в </w:t>
      </w:r>
      <w:hyperlink w:anchor="P1777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муниципальной службы в органе, уполномоченному должностному лицу органа.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lastRenderedPageBreak/>
        <w:t>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Рассмотрение обращения осуществляется уполномоченным должностным лицом органа, по результатам которого готовится мотивированное заключение по существу обращения с учетом требований </w:t>
      </w:r>
      <w:hyperlink r:id="rId1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19" w:name="P1791"/>
      <w:bookmarkEnd w:id="19"/>
      <w:r>
        <w:t xml:space="preserve">18. Обращение, указанное в </w:t>
      </w:r>
      <w:hyperlink w:anchor="P1777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0" w:name="P1792"/>
      <w:bookmarkEnd w:id="20"/>
      <w:r>
        <w:t xml:space="preserve">19. Обращение, указанное в </w:t>
      </w:r>
      <w:hyperlink w:anchor="P1778" w:history="1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подается муниципальным служащим, специалисту ответственному за профилактику коррупционных правонарушений органа. В обращении указываются фамилия, имя, отчество гражданина, замещаемая должность, наименование некоммерческой организации. Рассмотрение обращения осуществляется специалистом, ответственным за профилактику коррупционных правонарушений органа, по результатам которого готовится мотивированное заключение по существу обращения с учетом требований </w:t>
      </w:r>
      <w:hyperlink r:id="rId17" w:history="1">
        <w:r>
          <w:rPr>
            <w:color w:val="0000FF"/>
          </w:rPr>
          <w:t>статьи 14</w:t>
        </w:r>
      </w:hyperlink>
      <w:r>
        <w:t xml:space="preserve"> Федерального закона от 2 марта 2007 года N 253-ФЗ "О муниципальной службе в Российской Федерации".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20. Уведомления, указанные в </w:t>
      </w:r>
      <w:hyperlink w:anchor="P1780" w:history="1">
        <w:r>
          <w:rPr>
            <w:color w:val="0000FF"/>
          </w:rPr>
          <w:t>абзаце пятом подпункта "б"</w:t>
        </w:r>
      </w:hyperlink>
      <w:r>
        <w:t xml:space="preserve">, </w:t>
      </w:r>
      <w:hyperlink w:anchor="P1782" w:history="1">
        <w:r>
          <w:rPr>
            <w:color w:val="0000FF"/>
          </w:rPr>
          <w:t>абзаце втором подпункта "в" пункта 15</w:t>
        </w:r>
      </w:hyperlink>
      <w:r>
        <w:t xml:space="preserve"> настоящего Положения, обращение, указанное в </w:t>
      </w:r>
      <w:hyperlink w:anchor="P1785" w:history="1">
        <w:r>
          <w:rPr>
            <w:color w:val="0000FF"/>
          </w:rPr>
          <w:t>абзаце пятом подпункта "в" пункта 15</w:t>
        </w:r>
      </w:hyperlink>
      <w:r>
        <w:t xml:space="preserve"> настоящего Положения, рассматриваются специалистом, ответственным за профилактику коррупционных правонарушений органа, которая(</w:t>
      </w:r>
      <w:proofErr w:type="spellStart"/>
      <w:r>
        <w:t>ый</w:t>
      </w:r>
      <w:proofErr w:type="spellEnd"/>
      <w:r>
        <w:t>) осуществляет подготовку мотивированного заключения по результатам рассмотрения уведомлений и обращения.</w:t>
      </w:r>
    </w:p>
    <w:p w:rsidR="00594A28" w:rsidRDefault="00594A28">
      <w:pPr>
        <w:pStyle w:val="ConsPlusNormal"/>
        <w:jc w:val="both"/>
      </w:pPr>
      <w:r>
        <w:t xml:space="preserve">(п. 20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"Корткеросский" от 12.04.2021 N 577)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1" w:name="P1795"/>
      <w:bookmarkEnd w:id="21"/>
      <w:r>
        <w:t xml:space="preserve">21. Уведомление, указанное в </w:t>
      </w:r>
      <w:hyperlink w:anchor="P1787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специалистом, ответственным за профилактику коррупционных правонарушений органа, которая(</w:t>
      </w:r>
      <w:proofErr w:type="spellStart"/>
      <w:r>
        <w:t>ый</w:t>
      </w:r>
      <w:proofErr w:type="spellEnd"/>
      <w:r>
        <w:t xml:space="preserve">) осуществляет подготовку мотивированного заключения о соблюдении гражданином, замещавшим должность муниципальной службы в органе, требований </w:t>
      </w:r>
      <w:hyperlink r:id="rId19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22. При подготовке мотивированного заключения по результатам рассмотрения обращений, указанных в </w:t>
      </w:r>
      <w:hyperlink w:anchor="P1777" w:history="1">
        <w:r>
          <w:rPr>
            <w:color w:val="0000FF"/>
          </w:rPr>
          <w:t>абзаце втором подпункта "б"</w:t>
        </w:r>
      </w:hyperlink>
      <w:r>
        <w:t xml:space="preserve">, </w:t>
      </w:r>
      <w:hyperlink w:anchor="P1785" w:history="1">
        <w:r>
          <w:rPr>
            <w:color w:val="0000FF"/>
          </w:rPr>
          <w:t>абзаце пятом подпункта "в" пункта 15</w:t>
        </w:r>
      </w:hyperlink>
      <w:r>
        <w:t xml:space="preserve"> настоящего Положения, или уведомлений, указанных в </w:t>
      </w:r>
      <w:hyperlink w:anchor="P1780" w:history="1">
        <w:r>
          <w:rPr>
            <w:color w:val="0000FF"/>
          </w:rPr>
          <w:t>абзаце пятом подпункта "б"</w:t>
        </w:r>
      </w:hyperlink>
      <w:r>
        <w:t xml:space="preserve">, </w:t>
      </w:r>
      <w:hyperlink w:anchor="P1782" w:history="1">
        <w:r>
          <w:rPr>
            <w:color w:val="0000FF"/>
          </w:rPr>
          <w:t>абзаце втором подпункта "в"</w:t>
        </w:r>
      </w:hyperlink>
      <w:r>
        <w:t xml:space="preserve"> и </w:t>
      </w:r>
      <w:hyperlink w:anchor="P1787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специалисты, ответственные за профилактику коррупционных правонарушений органа имеют(</w:t>
      </w:r>
      <w:proofErr w:type="spellStart"/>
      <w:r>
        <w:t>ет</w:t>
      </w:r>
      <w:proofErr w:type="spellEnd"/>
      <w:r>
        <w:t>)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94A28" w:rsidRDefault="00594A2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"Корткеросский" от 12.04.2021 N 577)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22.1. Мотивированные заключения, предусмотренные </w:t>
      </w:r>
      <w:hyperlink w:anchor="P1789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792" w:history="1">
        <w:r>
          <w:rPr>
            <w:color w:val="0000FF"/>
          </w:rPr>
          <w:t>19</w:t>
        </w:r>
      </w:hyperlink>
      <w:r>
        <w:t xml:space="preserve"> и </w:t>
      </w:r>
      <w:hyperlink w:anchor="P1795" w:history="1">
        <w:r>
          <w:rPr>
            <w:color w:val="0000FF"/>
          </w:rPr>
          <w:t>21</w:t>
        </w:r>
      </w:hyperlink>
      <w:r>
        <w:t xml:space="preserve"> настоящего Положения, должны содержать: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lastRenderedPageBreak/>
        <w:t xml:space="preserve">а) информацию, изложенную в обращениях или уведомлениях, указанных в </w:t>
      </w:r>
      <w:hyperlink w:anchor="P177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780" w:history="1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78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785" w:history="1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1787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77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780" w:history="1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78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785" w:history="1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1787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822" w:history="1">
        <w:r>
          <w:rPr>
            <w:color w:val="0000FF"/>
          </w:rPr>
          <w:t>пунктами 31</w:t>
        </w:r>
      </w:hyperlink>
      <w:r>
        <w:t xml:space="preserve">, </w:t>
      </w:r>
      <w:hyperlink w:anchor="P1825" w:history="1">
        <w:r>
          <w:rPr>
            <w:color w:val="0000FF"/>
          </w:rPr>
          <w:t>32</w:t>
        </w:r>
      </w:hyperlink>
      <w:r>
        <w:t xml:space="preserve">, </w:t>
      </w:r>
      <w:hyperlink w:anchor="P1836" w:history="1">
        <w:r>
          <w:rPr>
            <w:color w:val="0000FF"/>
          </w:rPr>
          <w:t>35</w:t>
        </w:r>
      </w:hyperlink>
      <w:r>
        <w:t xml:space="preserve">, </w:t>
      </w:r>
      <w:hyperlink w:anchor="P1843" w:history="1">
        <w:r>
          <w:rPr>
            <w:color w:val="0000FF"/>
          </w:rPr>
          <w:t>37</w:t>
        </w:r>
      </w:hyperlink>
      <w:r>
        <w:t xml:space="preserve">, </w:t>
      </w:r>
      <w:hyperlink w:anchor="P1847" w:history="1">
        <w:r>
          <w:rPr>
            <w:color w:val="0000FF"/>
          </w:rPr>
          <w:t>39</w:t>
        </w:r>
      </w:hyperlink>
      <w:r>
        <w:t xml:space="preserve"> настоящего Положения или иного решения.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Подготовка мотивированных заключений, предусмотренных </w:t>
      </w:r>
      <w:hyperlink w:anchor="P1789" w:history="1">
        <w:r>
          <w:rPr>
            <w:color w:val="0000FF"/>
          </w:rPr>
          <w:t>пунктами 17</w:t>
        </w:r>
      </w:hyperlink>
      <w:r>
        <w:t xml:space="preserve">, </w:t>
      </w:r>
      <w:hyperlink w:anchor="P1792" w:history="1">
        <w:r>
          <w:rPr>
            <w:color w:val="0000FF"/>
          </w:rPr>
          <w:t>19</w:t>
        </w:r>
      </w:hyperlink>
      <w:r>
        <w:t xml:space="preserve"> и </w:t>
      </w:r>
      <w:hyperlink w:anchor="P1795" w:history="1">
        <w:r>
          <w:rPr>
            <w:color w:val="0000FF"/>
          </w:rPr>
          <w:t>21</w:t>
        </w:r>
      </w:hyperlink>
      <w:r>
        <w:t xml:space="preserve"> настоящего Положения, по результатам рассмотрения обращений и уведомлений, указанных в </w:t>
      </w:r>
      <w:hyperlink w:anchor="P177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780" w:history="1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782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785" w:history="1">
        <w:r>
          <w:rPr>
            <w:color w:val="0000FF"/>
          </w:rPr>
          <w:t>пятом подпункта "в"</w:t>
        </w:r>
      </w:hyperlink>
      <w:r>
        <w:t xml:space="preserve"> и </w:t>
      </w:r>
      <w:hyperlink w:anchor="P1787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поступивших от гражданина, замещавшего должность муниципальной службы в администрации, муниципального служащего, замещающего должность муниципальной службы в администрации, осуществляется председателем комиссии или его заместителем.</w:t>
      </w:r>
    </w:p>
    <w:p w:rsidR="00594A28" w:rsidRDefault="00594A28">
      <w:pPr>
        <w:pStyle w:val="ConsPlusNormal"/>
        <w:jc w:val="both"/>
      </w:pPr>
      <w:r>
        <w:t xml:space="preserve">(п. 22.1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"Корткеросский" от 12.04.2021 N 577)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23.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случая, предусмотренного </w:t>
      </w:r>
      <w:hyperlink w:anchor="P1808" w:history="1">
        <w:r>
          <w:rPr>
            <w:color w:val="0000FF"/>
          </w:rPr>
          <w:t>пунктом 24</w:t>
        </w:r>
      </w:hyperlink>
      <w:r>
        <w:t xml:space="preserve"> настоящего Положения;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769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2" w:name="P1808"/>
      <w:bookmarkEnd w:id="22"/>
      <w:r>
        <w:t xml:space="preserve">24. Заседание комиссии по рассмотрению заявления, указанном в </w:t>
      </w:r>
      <w:hyperlink w:anchor="P1778" w:history="1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Уведомление, указанное в </w:t>
      </w:r>
      <w:hyperlink w:anchor="P1787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776" w:history="1">
        <w:r>
          <w:rPr>
            <w:color w:val="0000FF"/>
          </w:rPr>
          <w:t>подпунктом "б"</w:t>
        </w:r>
      </w:hyperlink>
      <w:r>
        <w:t xml:space="preserve"> и </w:t>
      </w:r>
      <w:hyperlink w:anchor="P1782" w:history="1">
        <w:r>
          <w:rPr>
            <w:color w:val="0000FF"/>
          </w:rPr>
          <w:t>абзацем вторым подпункта "в" пункта 15</w:t>
        </w:r>
      </w:hyperlink>
      <w:r>
        <w:t xml:space="preserve">, </w:t>
      </w:r>
      <w:hyperlink w:anchor="P1791" w:history="1">
        <w:r>
          <w:rPr>
            <w:color w:val="0000FF"/>
          </w:rPr>
          <w:t>пунктом 18</w:t>
        </w:r>
      </w:hyperlink>
      <w:r>
        <w:t xml:space="preserve"> настоящего Положения.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26. Заседания комиссии могут проводиться в отсутствие муниципального служащего или </w:t>
      </w:r>
      <w:r>
        <w:lastRenderedPageBreak/>
        <w:t>гражданина в случае: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представленных в соответствии с </w:t>
      </w:r>
      <w:hyperlink w:anchor="P1776" w:history="1">
        <w:r>
          <w:rPr>
            <w:color w:val="0000FF"/>
          </w:rPr>
          <w:t>подпунктом "б"</w:t>
        </w:r>
      </w:hyperlink>
      <w:r>
        <w:t xml:space="preserve"> и </w:t>
      </w:r>
      <w:hyperlink w:anchor="P1782" w:history="1">
        <w:r>
          <w:rPr>
            <w:color w:val="0000FF"/>
          </w:rPr>
          <w:t>абзацем вторым подпункта "в" пункта 15</w:t>
        </w:r>
      </w:hyperlink>
      <w:r>
        <w:t xml:space="preserve">, </w:t>
      </w:r>
      <w:hyperlink w:anchor="P1791" w:history="1">
        <w:r>
          <w:rPr>
            <w:color w:val="0000FF"/>
          </w:rPr>
          <w:t>пунктом 18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27. На заседании комиссии заслушиваются пояснения муниципального служащего или гражданина, замещавшего должность муниципальной службы в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3" w:name="P1815"/>
      <w:bookmarkEnd w:id="23"/>
      <w: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1774" w:history="1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а) установить, что сведения, представленные муниципальным служащим, являются достоверными и полными;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30. По итогам рассмотрения вопроса, указанного в </w:t>
      </w:r>
      <w:hyperlink w:anchor="P1775" w:history="1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4" w:name="P1822"/>
      <w:bookmarkEnd w:id="24"/>
      <w:r>
        <w:t xml:space="preserve">31. По итогам рассмотрения вопроса, указанного в </w:t>
      </w:r>
      <w:hyperlink w:anchor="P1777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5" w:name="P1825"/>
      <w:bookmarkEnd w:id="25"/>
      <w:r>
        <w:t xml:space="preserve">32. По итогам рассмотрения вопроса, указанного в </w:t>
      </w:r>
      <w:hyperlink w:anchor="P1782" w:history="1">
        <w:r>
          <w:rPr>
            <w:color w:val="0000FF"/>
          </w:rPr>
          <w:t>абзаце втором подпункта "в" пункта 15</w:t>
        </w:r>
      </w:hyperlink>
      <w:r>
        <w:t xml:space="preserve"> </w:t>
      </w:r>
      <w:r>
        <w:lastRenderedPageBreak/>
        <w:t>настоящего Положения, комиссия принимает одно из следующих решений: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организации и (или) на выполнение в данной организации работ (оказание данной организации услуг);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организации и (или) в выполнении в данной организации работ (оказании данной организации услуг) и мотивировать свой отказ.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1778" w:history="1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а) дать гражданину согласие участвовать на безвозмездной основе в управлении указанной некоммерческой организацией;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отказать гражданину согласие участвовать на безвозмездной основе в управлении указанной некоммерческой организацией и мотивировать свой отказ.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Основанием для принятия решения об отказе муниципальному служащему в участии на безвозмездной основе в управлении некоммерческой организацией является ситуация, при которой отдельные функции муниципального (административного) управления указанной в обращении некоммерческой организацией входят в должностные (служебные) обязанности муниципального служащего и исполнение которых приводит или может привести к конфликту интересов.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6" w:name="P1832"/>
      <w:bookmarkEnd w:id="26"/>
      <w:r>
        <w:t xml:space="preserve">34. По итогам рассмотрения вопроса, указанного в </w:t>
      </w:r>
      <w:hyperlink w:anchor="P1779" w:history="1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7" w:name="P1836"/>
      <w:bookmarkEnd w:id="27"/>
      <w:r>
        <w:t xml:space="preserve">35. По итогам рассмотрения вопроса, указанного в </w:t>
      </w:r>
      <w:hyperlink w:anchor="P1780" w:history="1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принять меры по урегулированию конфликта интересов или по недопущению его возникновения;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применить к муниципальному служащему конкретную меру ответственности.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lastRenderedPageBreak/>
        <w:t xml:space="preserve">36. По итогам рассмотрения вопроса, указанного в </w:t>
      </w:r>
      <w:hyperlink w:anchor="P1786" w:history="1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2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2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8" w:name="P1843"/>
      <w:bookmarkEnd w:id="28"/>
      <w:r>
        <w:t xml:space="preserve">37. По итогам рассмотрения вопроса, указанного в </w:t>
      </w:r>
      <w:hyperlink w:anchor="P1787" w:history="1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органе, одно из следующих решений: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руководителю органа проинформировать об указанных обстоятельствах органы прокуратуры и уведомившую организацию.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38. По итогам рассмотрения вопросов, указанных в </w:t>
      </w:r>
      <w:hyperlink w:anchor="P177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776" w:history="1">
        <w:r>
          <w:rPr>
            <w:color w:val="0000FF"/>
          </w:rPr>
          <w:t>"б"</w:t>
        </w:r>
      </w:hyperlink>
      <w:r>
        <w:t xml:space="preserve">, </w:t>
      </w:r>
      <w:hyperlink w:anchor="P1786" w:history="1">
        <w:r>
          <w:rPr>
            <w:color w:val="0000FF"/>
          </w:rPr>
          <w:t>"г"</w:t>
        </w:r>
      </w:hyperlink>
      <w:r>
        <w:t xml:space="preserve"> и </w:t>
      </w:r>
      <w:hyperlink w:anchor="P1787" w:history="1">
        <w:r>
          <w:rPr>
            <w:color w:val="0000FF"/>
          </w:rPr>
          <w:t>"д" пункта 15</w:t>
        </w:r>
      </w:hyperlink>
      <w:r>
        <w:t xml:space="preserve"> настоящего Положения, и при наличии оснований комиссия может принять иное решение, чем это предусмотрено </w:t>
      </w:r>
      <w:hyperlink w:anchor="P1815" w:history="1">
        <w:r>
          <w:rPr>
            <w:color w:val="0000FF"/>
          </w:rPr>
          <w:t>пунктами 28</w:t>
        </w:r>
      </w:hyperlink>
      <w:r>
        <w:t xml:space="preserve"> - </w:t>
      </w:r>
      <w:hyperlink w:anchor="P1832" w:history="1">
        <w:r>
          <w:rPr>
            <w:color w:val="0000FF"/>
          </w:rPr>
          <w:t>34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bookmarkStart w:id="29" w:name="P1847"/>
      <w:bookmarkEnd w:id="29"/>
      <w:r>
        <w:t xml:space="preserve">39. По итогам рассмотрения вопросов, предусмотренных </w:t>
      </w:r>
      <w:hyperlink w:anchor="P1781" w:history="1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40. Для исполнения решений комиссии могут быть подготовлены проекты нормативных правовых актов органа, решений или поручений руководителя органа, которые в установленном порядке представляются на рассмотрение руководителю органа.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41. Решения комиссии по вопросам, указанным в </w:t>
      </w:r>
      <w:hyperlink w:anchor="P1772" w:history="1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777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руководителя органа носят рекомендательный характер. Решение, принимаемое по итогам рассмотрения вопроса, указанного в </w:t>
      </w:r>
      <w:hyperlink w:anchor="P1777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43. В протоколе заседания комиссии указываются: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lastRenderedPageBreak/>
        <w:t>а) дата заседания комиссии, фамилии, инициалы членов комиссии и других лиц, присутствующих на заседании;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инициалов,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д) фамилии, инициалы выступивших на заседании лиц и краткое изложение их выступлений;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45. Копии протокола заседания комиссии в 7-дневный срок со дня заседания направляются руководителю органа,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 xml:space="preserve">Выписка из протокола заседания комиссии, заверенная подписью секретаря комиссии и печатью органа, вручается гражданину, замещавшему должность муниципальной службы в органе, в отношении которого рассматривался вопрос, указанный в </w:t>
      </w:r>
      <w:hyperlink w:anchor="P1777" w:history="1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1 рабочего дня, следующего за днем подписания протокола соответствующего заседания комиссии. В случае направления гражданину выписки из протокола заседания комиссии заказным письмом с уведомлением гражданин также уведомляется устно секретарем комиссии в течение 7 рабочих дней со дня подписания протокола соответствующего заседания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46. Руководитель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руководитель органа в письменной форме уведомляет комиссию в месячный срок со дня поступления к нему протокола заседания комиссии.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Решение руководителя органа оглашается на ближайшем заседании комиссии и принимается к сведению без обсуждения.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lastRenderedPageBreak/>
        <w:t>47.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48.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594A28" w:rsidRDefault="00594A28">
      <w:pPr>
        <w:pStyle w:val="ConsPlusNormal"/>
        <w:spacing w:before="220"/>
        <w:ind w:firstLine="540"/>
        <w:jc w:val="both"/>
      </w:pPr>
      <w:r>
        <w:t>49.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94A28" w:rsidRDefault="00594A28">
      <w:pPr>
        <w:pStyle w:val="ConsPlusNormal"/>
      </w:pPr>
    </w:p>
    <w:p w:rsidR="00594A28" w:rsidRDefault="00594A28">
      <w:pPr>
        <w:pStyle w:val="ConsPlusNormal"/>
      </w:pPr>
    </w:p>
    <w:p w:rsidR="00594A28" w:rsidRDefault="00594A28">
      <w:pPr>
        <w:pStyle w:val="ConsPlusNormal"/>
      </w:pPr>
    </w:p>
    <w:sectPr w:rsidR="00594A28" w:rsidSect="00D3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28"/>
    <w:rsid w:val="004A3434"/>
    <w:rsid w:val="00594A28"/>
    <w:rsid w:val="00634EED"/>
    <w:rsid w:val="00D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E92B0-342D-43CD-B68D-2766AC2F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4A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4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4A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4A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4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4A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4A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22B37228142666ADB53CE00D79E2E56259C5905F623F54448F2959484D533B9F905DB0C9D8057130310EA5L2L" TargetMode="External"/><Relationship Id="rId13" Type="http://schemas.openxmlformats.org/officeDocument/2006/relationships/hyperlink" Target="consultantplus://offline/ref=CA22B37228142666ADB53CE00D79E2E56354CA9D5332685615DA275C401D092B89D951B2D7D8056D3A3A5801B4F2E6BEACEF8E9EB9A14147A1LFL" TargetMode="External"/><Relationship Id="rId18" Type="http://schemas.openxmlformats.org/officeDocument/2006/relationships/hyperlink" Target="consultantplus://offline/ref=CA22B37228142666ADB522ED1B15BCE1665A9C98553C6A04418E210B1F4D0F7EC99957E7949C096E32310C51F2ACBFEEEBA4839EA4BD414403EC980BAAL7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22B37228142666ADB522ED1B15BCE1665A9C98553C6A04418E210B1F4D0F7EC99957E7949C096E32310C51F5ACBFEEEBA4839EA4BD414403EC980BAAL7L" TargetMode="External"/><Relationship Id="rId7" Type="http://schemas.openxmlformats.org/officeDocument/2006/relationships/hyperlink" Target="consultantplus://offline/ref=CA22B37228142666ADB53CE00D79E2E56359C7955737685615DA275C401D092B9BD909BED6DB1A6F332F0E50F2AAL5L" TargetMode="External"/><Relationship Id="rId12" Type="http://schemas.openxmlformats.org/officeDocument/2006/relationships/hyperlink" Target="consultantplus://offline/ref=CA22B37228142666ADB53CE00D79E2E56359C1905630685615DA275C401D092B89D951B6D3D3503E76640151F3B9EBBEB1F38E9DAAL5L" TargetMode="External"/><Relationship Id="rId17" Type="http://schemas.openxmlformats.org/officeDocument/2006/relationships/hyperlink" Target="consultantplus://offline/ref=CA22B37228142666ADB53CE00D79E2E56359C1905630685615DA275C401D092B89D951B2D7D8056F363A5801B4F2E6BEACEF8E9EB9A14147A1LF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22B37228142666ADB53CE00D79E2E56359C7955737685615DA275C401D092B89D951B1DFD3503E76640151F3B9EBBEB1F38E9DAAL5L" TargetMode="External"/><Relationship Id="rId20" Type="http://schemas.openxmlformats.org/officeDocument/2006/relationships/hyperlink" Target="consultantplus://offline/ref=CA22B37228142666ADB522ED1B15BCE1665A9C98553C6A04418E210B1F4D0F7EC99957E7949C096E32310C51F4ACBFEEEBA4839EA4BD414403EC980BAAL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2B37228142666ADB522ED1B15BCE1665A9C98553C6A04418E210B1F4D0F7EC99957E7949C096E32310C51F2ACBFEEEBA4839EA4BD414403EC980BAAL7L" TargetMode="External"/><Relationship Id="rId11" Type="http://schemas.openxmlformats.org/officeDocument/2006/relationships/hyperlink" Target="consultantplus://offline/ref=CA22B37228142666ADB53CE00D79E2E56359C7955737685615DA275C401D092B89D951B1DFD3503E76640151F3B9EBBEB1F38E9DAAL5L" TargetMode="External"/><Relationship Id="rId24" Type="http://schemas.openxmlformats.org/officeDocument/2006/relationships/hyperlink" Target="consultantplus://offline/ref=CA22B37228142666ADB53CE00D79E2E56359C7955737685615DA275C401D092B89D951B1DFD3503E76640151F3B9EBBEB1F38E9DAAL5L" TargetMode="External"/><Relationship Id="rId5" Type="http://schemas.openxmlformats.org/officeDocument/2006/relationships/hyperlink" Target="consultantplus://offline/ref=CA22B37228142666ADB522ED1B15BCE1665A9C98553C63014B8D210B1F4D0F7EC99957E7949C096E32310C51F5ACBFEEEBA4839EA4BD414403EC980BAAL7L" TargetMode="External"/><Relationship Id="rId15" Type="http://schemas.openxmlformats.org/officeDocument/2006/relationships/hyperlink" Target="consultantplus://offline/ref=CA22B37228142666ADB53CE00D79E2E56451C2925D36685615DA275C401D092B89D951B2D0D9076466604805FDA6E8A1AFF0909DA7A1A4L3L" TargetMode="External"/><Relationship Id="rId23" Type="http://schemas.openxmlformats.org/officeDocument/2006/relationships/hyperlink" Target="consultantplus://offline/ref=CA22B37228142666ADB53CE00D79E2E56354CA9D5332685615DA275C401D092B89D951B2D7D8056D3A3A5801B4F2E6BEACEF8E9EB9A14147A1LFL" TargetMode="External"/><Relationship Id="rId10" Type="http://schemas.openxmlformats.org/officeDocument/2006/relationships/hyperlink" Target="consultantplus://offline/ref=CA22B37228142666ADB53CE00D79E2E56359C7955737685615DA275C401D092B9BD909BED6DB1A6F332F0E50F2AAL5L" TargetMode="External"/><Relationship Id="rId19" Type="http://schemas.openxmlformats.org/officeDocument/2006/relationships/hyperlink" Target="consultantplus://offline/ref=CA22B37228142666ADB53CE00D79E2E56359C7955737685615DA275C401D092B89D951B1DFD3503E76640151F3B9EBBEB1F38E9DAAL5L" TargetMode="External"/><Relationship Id="rId4" Type="http://schemas.openxmlformats.org/officeDocument/2006/relationships/hyperlink" Target="consultantplus://offline/ref=CA22B37228142666ADB522ED1B15BCE1665A9C98553364024087210B1F4D0F7EC99957E7949C096E32310C52F3ACBFEEEBA4839EA4BD414403EC980BAAL7L" TargetMode="External"/><Relationship Id="rId9" Type="http://schemas.openxmlformats.org/officeDocument/2006/relationships/hyperlink" Target="consultantplus://offline/ref=CA22B37228142666ADB522ED1B15BCE1665A9C98553D61024987210B1F4D0F7EC99957E7869C516233321250F1B9E9BFADAFL3L" TargetMode="External"/><Relationship Id="rId14" Type="http://schemas.openxmlformats.org/officeDocument/2006/relationships/hyperlink" Target="consultantplus://offline/ref=CA22B37228142666ADB53CE00D79E2E56359C7955737685615DA275C401D092B89D951B0D4D3503E76640151F3B9EBBEB1F38E9DAAL5L" TargetMode="External"/><Relationship Id="rId22" Type="http://schemas.openxmlformats.org/officeDocument/2006/relationships/hyperlink" Target="consultantplus://offline/ref=CA22B37228142666ADB53CE00D79E2E56354CA9D5332685615DA275C401D092B89D951B2D7D8056D3A3A5801B4F2E6BEACEF8E9EB9A14147A1L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5770</Words>
  <Characters>32894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СП Небдино2</cp:lastModifiedBy>
  <cp:revision>2</cp:revision>
  <dcterms:created xsi:type="dcterms:W3CDTF">2023-02-17T08:52:00Z</dcterms:created>
  <dcterms:modified xsi:type="dcterms:W3CDTF">2023-02-17T08:52:00Z</dcterms:modified>
</cp:coreProperties>
</file>